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D3523" w14:textId="77777777" w:rsidR="001960F2" w:rsidRDefault="001960F2" w:rsidP="00FD0762">
      <w:pPr>
        <w:pBdr>
          <w:bottom w:val="single" w:sz="12" w:space="1" w:color="auto"/>
        </w:pBdr>
        <w:spacing w:after="0" w:line="240" w:lineRule="auto"/>
        <w:jc w:val="center"/>
        <w:rPr>
          <w:b/>
          <w:u w:val="single"/>
        </w:rPr>
      </w:pPr>
      <w:r w:rsidRPr="001960F2">
        <w:rPr>
          <w:b/>
          <w:u w:val="single"/>
        </w:rPr>
        <w:t>Muster Beschlussvor</w:t>
      </w:r>
      <w:r w:rsidR="009B76E2">
        <w:rPr>
          <w:b/>
          <w:u w:val="single"/>
        </w:rPr>
        <w:t xml:space="preserve">lage </w:t>
      </w:r>
    </w:p>
    <w:p w14:paraId="12BC3F42" w14:textId="77777777" w:rsidR="009B76E2" w:rsidRDefault="009B76E2" w:rsidP="00FD0762">
      <w:pPr>
        <w:pBdr>
          <w:bottom w:val="single" w:sz="12" w:space="1" w:color="auto"/>
        </w:pBdr>
        <w:spacing w:after="0" w:line="240" w:lineRule="auto"/>
        <w:jc w:val="center"/>
        <w:rPr>
          <w:b/>
          <w:u w:val="single"/>
        </w:rPr>
      </w:pPr>
      <w:r>
        <w:rPr>
          <w:b/>
          <w:u w:val="single"/>
        </w:rPr>
        <w:t>für Gemeinden, Städte und Verwaltungsgemeinschaften</w:t>
      </w:r>
    </w:p>
    <w:p w14:paraId="5AD37BA6" w14:textId="77777777" w:rsidR="00BD2C8F" w:rsidRPr="00E1639C" w:rsidRDefault="00BD2C8F" w:rsidP="00FD0762">
      <w:pPr>
        <w:spacing w:after="0" w:line="240" w:lineRule="auto"/>
        <w:jc w:val="both"/>
        <w:rPr>
          <w:b/>
          <w:sz w:val="16"/>
          <w:szCs w:val="16"/>
          <w:u w:val="single"/>
        </w:rPr>
      </w:pPr>
    </w:p>
    <w:p w14:paraId="7E3B83BD" w14:textId="77777777" w:rsidR="009B76E2" w:rsidRDefault="001960F2" w:rsidP="00FD0762">
      <w:pPr>
        <w:spacing w:after="0" w:line="240" w:lineRule="auto"/>
        <w:jc w:val="both"/>
        <w:rPr>
          <w:b/>
        </w:rPr>
      </w:pPr>
      <w:r w:rsidRPr="00E4614C">
        <w:rPr>
          <w:b/>
          <w:u w:val="single"/>
        </w:rPr>
        <w:t>Betreff</w:t>
      </w:r>
      <w:r w:rsidRPr="001960F2">
        <w:rPr>
          <w:b/>
        </w:rPr>
        <w:t>:</w:t>
      </w:r>
    </w:p>
    <w:p w14:paraId="4C39F434" w14:textId="77777777" w:rsidR="00D96103" w:rsidRDefault="00D96103" w:rsidP="00FD0762">
      <w:pPr>
        <w:spacing w:after="0" w:line="240" w:lineRule="auto"/>
        <w:jc w:val="both"/>
        <w:rPr>
          <w:b/>
        </w:rPr>
      </w:pPr>
    </w:p>
    <w:p w14:paraId="665A432F" w14:textId="77777777" w:rsidR="001960F2" w:rsidRDefault="001960F2" w:rsidP="00FD0762">
      <w:pPr>
        <w:spacing w:after="0" w:line="240" w:lineRule="auto"/>
        <w:jc w:val="both"/>
        <w:rPr>
          <w:b/>
        </w:rPr>
      </w:pPr>
      <w:r w:rsidRPr="001960F2">
        <w:rPr>
          <w:b/>
        </w:rPr>
        <w:t>„</w:t>
      </w:r>
      <w:r>
        <w:rPr>
          <w:b/>
        </w:rPr>
        <w:t xml:space="preserve">Beitritt </w:t>
      </w:r>
      <w:r w:rsidR="009B76E2">
        <w:rPr>
          <w:b/>
        </w:rPr>
        <w:t xml:space="preserve">zum </w:t>
      </w:r>
      <w:r>
        <w:rPr>
          <w:b/>
        </w:rPr>
        <w:t>Kommunale</w:t>
      </w:r>
      <w:r w:rsidR="009B76E2">
        <w:rPr>
          <w:b/>
        </w:rPr>
        <w:t>n</w:t>
      </w:r>
      <w:r>
        <w:rPr>
          <w:b/>
        </w:rPr>
        <w:t xml:space="preserve"> IT-Dienstleister</w:t>
      </w:r>
      <w:r w:rsidR="009B76E2">
        <w:rPr>
          <w:b/>
        </w:rPr>
        <w:t xml:space="preserve"> –</w:t>
      </w:r>
      <w:r w:rsidR="002210E9">
        <w:rPr>
          <w:b/>
        </w:rPr>
        <w:t xml:space="preserve"> KIV</w:t>
      </w:r>
      <w:r w:rsidR="00D96103">
        <w:rPr>
          <w:b/>
        </w:rPr>
        <w:t>“</w:t>
      </w:r>
    </w:p>
    <w:p w14:paraId="2FD0492D" w14:textId="77777777" w:rsidR="00D96103" w:rsidRPr="001960F2" w:rsidRDefault="00D96103" w:rsidP="00FD0762">
      <w:pPr>
        <w:spacing w:after="0" w:line="240" w:lineRule="auto"/>
        <w:jc w:val="both"/>
        <w:rPr>
          <w:b/>
        </w:rPr>
      </w:pPr>
    </w:p>
    <w:p w14:paraId="64941AC9" w14:textId="77777777" w:rsidR="001960F2" w:rsidRDefault="00815AE2" w:rsidP="00FD0762">
      <w:pPr>
        <w:spacing w:after="0" w:line="240" w:lineRule="auto"/>
        <w:jc w:val="both"/>
        <w:rPr>
          <w:b/>
          <w:u w:val="single"/>
        </w:rPr>
      </w:pPr>
      <w:r w:rsidRPr="00FD0762">
        <w:rPr>
          <w:b/>
          <w:u w:val="single"/>
        </w:rPr>
        <w:t>Beschluss</w:t>
      </w:r>
      <w:r w:rsidR="009B76E2" w:rsidRPr="00FD0762">
        <w:rPr>
          <w:b/>
          <w:u w:val="single"/>
        </w:rPr>
        <w:t>vorschlag:</w:t>
      </w:r>
    </w:p>
    <w:p w14:paraId="20D49040" w14:textId="77777777" w:rsidR="00D96103" w:rsidRPr="00E1639C" w:rsidRDefault="00D96103" w:rsidP="00FD0762">
      <w:pPr>
        <w:spacing w:after="0" w:line="240" w:lineRule="auto"/>
        <w:jc w:val="both"/>
        <w:rPr>
          <w:b/>
          <w:sz w:val="16"/>
          <w:szCs w:val="16"/>
          <w:u w:val="single"/>
        </w:rPr>
      </w:pPr>
    </w:p>
    <w:p w14:paraId="15AEAB10" w14:textId="14A44016" w:rsidR="009B76E2" w:rsidRPr="00E4614C" w:rsidRDefault="00FD0762" w:rsidP="00FD0762">
      <w:pPr>
        <w:pStyle w:val="Listenabsatz"/>
        <w:numPr>
          <w:ilvl w:val="0"/>
          <w:numId w:val="2"/>
        </w:numPr>
        <w:spacing w:after="0" w:line="240" w:lineRule="auto"/>
        <w:jc w:val="both"/>
      </w:pPr>
      <w:r>
        <w:t>Der Gemeinderat</w:t>
      </w:r>
      <w:r w:rsidR="00D2441B">
        <w:rPr>
          <w:rStyle w:val="Funotenzeichen"/>
        </w:rPr>
        <w:footnoteReference w:id="1"/>
      </w:r>
      <w:r w:rsidR="009B76E2" w:rsidRPr="00E4614C">
        <w:t xml:space="preserve"> beschließt, dass sich </w:t>
      </w:r>
      <w:r>
        <w:t>die Gemeinde […]</w:t>
      </w:r>
      <w:r w:rsidR="00D2441B">
        <w:rPr>
          <w:rStyle w:val="Funotenzeichen"/>
        </w:rPr>
        <w:footnoteReference w:id="2"/>
      </w:r>
      <w:r w:rsidR="00D2441B">
        <w:t xml:space="preserve"> </w:t>
      </w:r>
      <w:r w:rsidR="009B76E2" w:rsidRPr="00E4614C">
        <w:t xml:space="preserve">an </w:t>
      </w:r>
      <w:r>
        <w:t>dem k</w:t>
      </w:r>
      <w:r w:rsidR="009B76E2" w:rsidRPr="00E4614C">
        <w:t>ommunalen IT-Dienstleister in Thüringen – Kommunale Informationsverar</w:t>
      </w:r>
      <w:r w:rsidR="002210E9" w:rsidRPr="002210E9">
        <w:t>beitung Thüringen GmbH (KIV</w:t>
      </w:r>
      <w:r w:rsidR="009B76E2" w:rsidRPr="00E4614C">
        <w:t xml:space="preserve">) – </w:t>
      </w:r>
      <w:r w:rsidR="00FB0E8C">
        <w:t xml:space="preserve">als Gesellschafterin durch den Erwerb von Anteilen in Höhe von </w:t>
      </w:r>
      <w:r w:rsidR="00497566">
        <w:t>85,27</w:t>
      </w:r>
      <w:r w:rsidR="00FB0E8C">
        <w:t xml:space="preserve"> Euro beteiligt. </w:t>
      </w:r>
    </w:p>
    <w:p w14:paraId="68E5470C" w14:textId="77777777" w:rsidR="009B76E2" w:rsidRPr="00E1639C" w:rsidRDefault="009B76E2" w:rsidP="00FD0762">
      <w:pPr>
        <w:pStyle w:val="Listenabsatz"/>
        <w:spacing w:after="0" w:line="240" w:lineRule="auto"/>
        <w:jc w:val="both"/>
        <w:rPr>
          <w:b/>
          <w:sz w:val="16"/>
          <w:szCs w:val="16"/>
        </w:rPr>
      </w:pPr>
    </w:p>
    <w:p w14:paraId="3EE38714" w14:textId="77777777" w:rsidR="002210E9" w:rsidRDefault="00FD0762" w:rsidP="00FD0762">
      <w:pPr>
        <w:pStyle w:val="Listenabsatz"/>
        <w:numPr>
          <w:ilvl w:val="0"/>
          <w:numId w:val="2"/>
        </w:numPr>
        <w:spacing w:after="0" w:line="240" w:lineRule="auto"/>
        <w:jc w:val="both"/>
      </w:pPr>
      <w:r>
        <w:t>Der Gemeinderat</w:t>
      </w:r>
      <w:r w:rsidR="00D2441B">
        <w:rPr>
          <w:rStyle w:val="Funotenzeichen"/>
        </w:rPr>
        <w:footnoteReference w:id="3"/>
      </w:r>
      <w:r w:rsidR="009B76E2">
        <w:t xml:space="preserve"> beschließt</w:t>
      </w:r>
      <w:r w:rsidR="00681B61">
        <w:t>,</w:t>
      </w:r>
      <w:r w:rsidR="009B76E2">
        <w:t xml:space="preserve"> den</w:t>
      </w:r>
      <w:r w:rsidR="00D2441B">
        <w:t xml:space="preserve"> Bürgermeister</w:t>
      </w:r>
      <w:r w:rsidR="00D2441B">
        <w:rPr>
          <w:rStyle w:val="Funotenzeichen"/>
        </w:rPr>
        <w:footnoteReference w:id="4"/>
      </w:r>
      <w:r w:rsidR="009B76E2">
        <w:t xml:space="preserve"> zu beauftragen und zu ermächtigen, alle</w:t>
      </w:r>
      <w:r w:rsidR="002210E9">
        <w:t>n</w:t>
      </w:r>
      <w:r w:rsidR="009B76E2">
        <w:t xml:space="preserve"> notwendigen Beschlüsse</w:t>
      </w:r>
      <w:r w:rsidR="002210E9">
        <w:t>n</w:t>
      </w:r>
      <w:r w:rsidR="009B76E2">
        <w:t>, Verträge</w:t>
      </w:r>
      <w:r w:rsidR="002210E9">
        <w:t>n</w:t>
      </w:r>
      <w:r w:rsidR="009B76E2">
        <w:t xml:space="preserve"> und Rechtshandlungen zum Beitritt der Gemeinde</w:t>
      </w:r>
      <w:r w:rsidR="00D2441B">
        <w:t xml:space="preserve"> […]</w:t>
      </w:r>
      <w:r w:rsidR="00D2441B">
        <w:rPr>
          <w:rStyle w:val="Funotenzeichen"/>
        </w:rPr>
        <w:footnoteReference w:id="5"/>
      </w:r>
      <w:r w:rsidR="009B76E2">
        <w:t xml:space="preserve"> zu dem Thüringer Kommunalen IT-Dienstleister – Kommunale Informationsverarbeitung Thüringen GmbH (KIV) – </w:t>
      </w:r>
      <w:r w:rsidR="00D2441B">
        <w:t>zuzustimmen. Der Bürgermeister</w:t>
      </w:r>
      <w:r w:rsidR="00D2441B">
        <w:rPr>
          <w:rStyle w:val="Funotenzeichen"/>
        </w:rPr>
        <w:footnoteReference w:id="6"/>
      </w:r>
      <w:r>
        <w:t xml:space="preserve"> </w:t>
      </w:r>
      <w:r w:rsidR="002210E9">
        <w:t xml:space="preserve">wird in diesem Zusammenhang </w:t>
      </w:r>
      <w:r w:rsidR="002510C8">
        <w:t xml:space="preserve">ebenfalls </w:t>
      </w:r>
      <w:r w:rsidR="002210E9">
        <w:t xml:space="preserve">beauftragt und ermächtigt, alle im Rahmen des Beitrittsverfahrens erforderlichen Erklärungen abzugeben und entgegenzunehmen. Dies gilt auch für die Einholung von </w:t>
      </w:r>
      <w:proofErr w:type="spellStart"/>
      <w:r w:rsidR="002210E9">
        <w:t>rech</w:t>
      </w:r>
      <w:r w:rsidR="002510C8">
        <w:t>tsaufsichtlichen</w:t>
      </w:r>
      <w:proofErr w:type="spellEnd"/>
      <w:r w:rsidR="002510C8">
        <w:t xml:space="preserve"> Genehmigungen sowie die notarielle Abwicklung der Beteiligung. </w:t>
      </w:r>
    </w:p>
    <w:p w14:paraId="39C1DD70" w14:textId="77777777" w:rsidR="002210E9" w:rsidRPr="00E1639C" w:rsidRDefault="002210E9" w:rsidP="00FD0762">
      <w:pPr>
        <w:pStyle w:val="Listenabsatz"/>
        <w:spacing w:after="0" w:line="240" w:lineRule="auto"/>
        <w:jc w:val="both"/>
        <w:rPr>
          <w:sz w:val="16"/>
          <w:szCs w:val="16"/>
        </w:rPr>
      </w:pPr>
    </w:p>
    <w:p w14:paraId="5D58DCFD" w14:textId="77777777" w:rsidR="001960F2" w:rsidRDefault="002210E9" w:rsidP="00FD0762">
      <w:pPr>
        <w:pStyle w:val="Listenabsatz"/>
        <w:numPr>
          <w:ilvl w:val="0"/>
          <w:numId w:val="2"/>
        </w:numPr>
        <w:spacing w:after="0" w:line="240" w:lineRule="auto"/>
        <w:jc w:val="both"/>
      </w:pPr>
      <w:r>
        <w:t>Der Geme</w:t>
      </w:r>
      <w:r w:rsidR="00FD0762">
        <w:t>inderat</w:t>
      </w:r>
      <w:r w:rsidR="00D2441B">
        <w:rPr>
          <w:rStyle w:val="Funotenzeichen"/>
        </w:rPr>
        <w:footnoteReference w:id="7"/>
      </w:r>
      <w:r>
        <w:t xml:space="preserve"> beschließt</w:t>
      </w:r>
      <w:r w:rsidR="00681B61">
        <w:t>,</w:t>
      </w:r>
      <w:r>
        <w:t xml:space="preserve"> den</w:t>
      </w:r>
      <w:r w:rsidR="00D2441B">
        <w:t xml:space="preserve"> Bürgermeister</w:t>
      </w:r>
      <w:r w:rsidR="00D2441B">
        <w:rPr>
          <w:rStyle w:val="Funotenzeichen"/>
        </w:rPr>
        <w:footnoteReference w:id="8"/>
      </w:r>
      <w:r>
        <w:t xml:space="preserve"> zu ermächtigen, dem Gesellschaftsvertrag der KIV (</w:t>
      </w:r>
      <w:r w:rsidRPr="00FD0762">
        <w:rPr>
          <w:b/>
        </w:rPr>
        <w:t>Anlage 1</w:t>
      </w:r>
      <w:r>
        <w:t>) sowie der Gesellschaftervereinbarung der KIV (</w:t>
      </w:r>
      <w:r w:rsidRPr="00FD0762">
        <w:rPr>
          <w:b/>
        </w:rPr>
        <w:t>Anlage 2</w:t>
      </w:r>
      <w:r>
        <w:t>) einschließlich ggf. notwendiger redaktioneller Änderungen aufgrund von behördlichen oder gericht</w:t>
      </w:r>
      <w:r w:rsidR="00D96103">
        <w:t>lichen Anordnungen zuzustimmen.</w:t>
      </w:r>
    </w:p>
    <w:p w14:paraId="3522C4CE" w14:textId="77777777" w:rsidR="00D96103" w:rsidRPr="00E1639C" w:rsidRDefault="00D96103" w:rsidP="00D96103">
      <w:pPr>
        <w:pStyle w:val="Listenabsatz"/>
        <w:rPr>
          <w:sz w:val="16"/>
          <w:szCs w:val="16"/>
        </w:rPr>
      </w:pPr>
    </w:p>
    <w:p w14:paraId="11E4E616" w14:textId="77777777" w:rsidR="001960F2" w:rsidRDefault="00D96103" w:rsidP="00FD0762">
      <w:pPr>
        <w:spacing w:after="0" w:line="240" w:lineRule="auto"/>
        <w:jc w:val="both"/>
        <w:rPr>
          <w:b/>
          <w:u w:val="single"/>
        </w:rPr>
      </w:pPr>
      <w:r>
        <w:rPr>
          <w:b/>
          <w:u w:val="single"/>
        </w:rPr>
        <w:t>Begründung:</w:t>
      </w:r>
    </w:p>
    <w:p w14:paraId="155B85E7" w14:textId="77777777" w:rsidR="00D96103" w:rsidRPr="00E1639C" w:rsidRDefault="00D96103" w:rsidP="00FD0762">
      <w:pPr>
        <w:spacing w:after="0" w:line="240" w:lineRule="auto"/>
        <w:jc w:val="both"/>
        <w:rPr>
          <w:b/>
          <w:sz w:val="16"/>
          <w:szCs w:val="16"/>
          <w:u w:val="single"/>
        </w:rPr>
      </w:pPr>
    </w:p>
    <w:p w14:paraId="732CB353" w14:textId="77777777" w:rsidR="00C857E1" w:rsidRDefault="00AD42D1" w:rsidP="00FD0762">
      <w:pPr>
        <w:spacing w:after="0" w:line="240" w:lineRule="auto"/>
        <w:jc w:val="both"/>
        <w:rPr>
          <w:b/>
          <w:i/>
          <w:u w:val="single"/>
        </w:rPr>
      </w:pPr>
      <w:r>
        <w:rPr>
          <w:b/>
          <w:i/>
          <w:u w:val="single"/>
        </w:rPr>
        <w:t>Einführung</w:t>
      </w:r>
    </w:p>
    <w:p w14:paraId="14E87123" w14:textId="77777777" w:rsidR="00D96103" w:rsidRPr="00E1639C" w:rsidRDefault="00D96103" w:rsidP="00FD0762">
      <w:pPr>
        <w:spacing w:after="0" w:line="240" w:lineRule="auto"/>
        <w:jc w:val="both"/>
        <w:rPr>
          <w:b/>
          <w:i/>
          <w:sz w:val="16"/>
          <w:szCs w:val="16"/>
          <w:u w:val="single"/>
        </w:rPr>
      </w:pPr>
    </w:p>
    <w:p w14:paraId="34491A77" w14:textId="77777777" w:rsidR="00C857E1" w:rsidRDefault="002510C8" w:rsidP="00FD0762">
      <w:pPr>
        <w:spacing w:after="0" w:line="240" w:lineRule="auto"/>
        <w:jc w:val="both"/>
      </w:pPr>
      <w:r>
        <w:t xml:space="preserve">Am </w:t>
      </w:r>
      <w:r w:rsidR="00497566">
        <w:t xml:space="preserve">27. Mai 2020 </w:t>
      </w:r>
      <w:r>
        <w:t xml:space="preserve">wurde die KIV Kommunale Informationsverarbeitung Thüringen GmbH (im Nachfolgenden „KIV“) </w:t>
      </w:r>
      <w:r w:rsidR="00497566">
        <w:t xml:space="preserve">zum </w:t>
      </w:r>
      <w:r w:rsidR="00681B61">
        <w:t>k</w:t>
      </w:r>
      <w:r w:rsidR="00C857E1">
        <w:t>ommunale</w:t>
      </w:r>
      <w:r w:rsidR="00497566">
        <w:t>n</w:t>
      </w:r>
      <w:r w:rsidR="00C857E1">
        <w:t xml:space="preserve"> IT-Dienstleister für Thüringer Gemeinden, Städte, Verwaltungsgemeinschaften und Landkreise </w:t>
      </w:r>
      <w:proofErr w:type="spellStart"/>
      <w:r w:rsidR="00497566">
        <w:t>um</w:t>
      </w:r>
      <w:r w:rsidR="00C857E1">
        <w:t>gegründet</w:t>
      </w:r>
      <w:proofErr w:type="spellEnd"/>
      <w:r w:rsidR="00C857E1">
        <w:t>. Gesellschafter der KIV sind der Freistaat Thüringen, die ekom21 – Kommunales Gebietsrechenzentrum Hessen sowie der Gemeinde- und Städtebund Thüringen. Den Thüringer Kommunen ist es möglich, sich</w:t>
      </w:r>
      <w:r w:rsidR="00E1639C">
        <w:t xml:space="preserve"> ebenfalls</w:t>
      </w:r>
      <w:r w:rsidR="00C857E1">
        <w:t xml:space="preserve"> </w:t>
      </w:r>
      <w:r w:rsidR="00971ECD">
        <w:t xml:space="preserve">an der KIV </w:t>
      </w:r>
      <w:r w:rsidR="00C857E1">
        <w:t>durch den Erwerb von Gesellschaftsanteilen als Mitgesellschafter zu beteiligen.</w:t>
      </w:r>
    </w:p>
    <w:p w14:paraId="73891D65" w14:textId="77777777" w:rsidR="00D96103" w:rsidRPr="00E1639C" w:rsidRDefault="00D96103" w:rsidP="00FD0762">
      <w:pPr>
        <w:spacing w:after="0" w:line="240" w:lineRule="auto"/>
        <w:jc w:val="both"/>
        <w:rPr>
          <w:sz w:val="12"/>
          <w:szCs w:val="12"/>
        </w:rPr>
      </w:pPr>
    </w:p>
    <w:p w14:paraId="6E39A78C" w14:textId="77777777" w:rsidR="00C857E1" w:rsidRDefault="00516C69" w:rsidP="00FD0762">
      <w:pPr>
        <w:spacing w:after="0" w:line="240" w:lineRule="auto"/>
        <w:jc w:val="both"/>
      </w:pPr>
      <w:r w:rsidRPr="00516C69">
        <w:t>Unternehmensgegenstand der Gesellschaft ist die Entwicklung, Wartung, Beschaffung, Bereitstellung, Betreuung und betriebliche Abwicklung technikunterstützter Informationsverarbeitung einschließlich der Einbringung aller damit im Zusammenhang stehende</w:t>
      </w:r>
      <w:r w:rsidR="00EF5B67">
        <w:t>n</w:t>
      </w:r>
      <w:r w:rsidRPr="00516C69">
        <w:t xml:space="preserve"> Beratungs- und Schulungsleistungen</w:t>
      </w:r>
      <w:r w:rsidR="00BA4210">
        <w:t xml:space="preserve"> sowie die Beratung und Unterstützung bei Digitalisierungsvorhaben innerhalb der Verwaltungen.</w:t>
      </w:r>
      <w:r w:rsidR="00D334F0">
        <w:t xml:space="preserve"> Sie unterstützt insbesondere die Gesellschafter darin, ihre Verpflichtungen und Aufgaben aus dem Onlinezugangsgesetz des Bundes sowie dem Thüringer E-</w:t>
      </w:r>
      <w:proofErr w:type="spellStart"/>
      <w:r w:rsidR="00D334F0">
        <w:t>Government</w:t>
      </w:r>
      <w:proofErr w:type="spellEnd"/>
      <w:r w:rsidR="00D334F0">
        <w:t xml:space="preserve">-Gesetz zu erfüllen. </w:t>
      </w:r>
    </w:p>
    <w:p w14:paraId="34DD8971" w14:textId="77777777" w:rsidR="00D96103" w:rsidRPr="00E1639C" w:rsidRDefault="00D96103" w:rsidP="00FD0762">
      <w:pPr>
        <w:spacing w:after="0" w:line="240" w:lineRule="auto"/>
        <w:jc w:val="both"/>
        <w:rPr>
          <w:sz w:val="12"/>
          <w:szCs w:val="12"/>
        </w:rPr>
      </w:pPr>
    </w:p>
    <w:p w14:paraId="31EE76F7" w14:textId="77777777" w:rsidR="00200C71" w:rsidRDefault="00516C69" w:rsidP="00681B61">
      <w:pPr>
        <w:spacing w:after="0" w:line="240" w:lineRule="auto"/>
        <w:jc w:val="both"/>
      </w:pPr>
      <w:r w:rsidRPr="00516C69">
        <w:t xml:space="preserve">Hierbei soll die Gesellschaft ihre Leistungen für die </w:t>
      </w:r>
      <w:r w:rsidR="00061E2B">
        <w:t>Gesellschafter zu</w:t>
      </w:r>
      <w:r w:rsidR="00D96103">
        <w:t>künftig</w:t>
      </w:r>
      <w:r w:rsidR="00061E2B">
        <w:t xml:space="preserve"> </w:t>
      </w:r>
      <w:proofErr w:type="spellStart"/>
      <w:r w:rsidR="00061E2B">
        <w:t>inhousefähig</w:t>
      </w:r>
      <w:proofErr w:type="spellEnd"/>
      <w:r w:rsidRPr="00516C69">
        <w:t xml:space="preserve"> anbieten können, </w:t>
      </w:r>
      <w:r w:rsidR="00971ECD">
        <w:t>so dass</w:t>
      </w:r>
      <w:r w:rsidRPr="00516C69">
        <w:t xml:space="preserve"> </w:t>
      </w:r>
      <w:r w:rsidR="001E6E62">
        <w:t xml:space="preserve">die </w:t>
      </w:r>
      <w:r w:rsidR="00D96103">
        <w:t>Gesellschafter</w:t>
      </w:r>
      <w:r w:rsidRPr="00516C69">
        <w:t xml:space="preserve"> gestützt auf den Ausnahmetatbestand des § 108 </w:t>
      </w:r>
      <w:r w:rsidR="00D96103">
        <w:t xml:space="preserve">Gesetzes gegen </w:t>
      </w:r>
      <w:r w:rsidR="00D96103">
        <w:lastRenderedPageBreak/>
        <w:t>Wettbewerbsbeschränkungen (</w:t>
      </w:r>
      <w:r w:rsidRPr="00516C69">
        <w:t>GWB</w:t>
      </w:r>
      <w:r w:rsidR="00D96103">
        <w:t>)</w:t>
      </w:r>
      <w:r w:rsidRPr="00516C69">
        <w:t>, in der Lage sein</w:t>
      </w:r>
      <w:r w:rsidR="00971ECD">
        <w:t xml:space="preserve"> sollen</w:t>
      </w:r>
      <w:r w:rsidRPr="00516C69">
        <w:t>, der Gesellschaft Aufträge zu erteilen, ohne hierfür ein Vergabeverfahren durchführen</w:t>
      </w:r>
      <w:r w:rsidR="00061E2B">
        <w:t xml:space="preserve"> zu müssen</w:t>
      </w:r>
      <w:r w:rsidRPr="00516C69">
        <w:t>.</w:t>
      </w:r>
      <w:r w:rsidR="00681B61">
        <w:t xml:space="preserve"> </w:t>
      </w:r>
    </w:p>
    <w:p w14:paraId="24569D13" w14:textId="77777777" w:rsidR="00681B61" w:rsidRDefault="00681B61" w:rsidP="00681B61">
      <w:pPr>
        <w:spacing w:after="0" w:line="240" w:lineRule="auto"/>
        <w:jc w:val="both"/>
      </w:pPr>
    </w:p>
    <w:p w14:paraId="29D4B659" w14:textId="77777777" w:rsidR="001A0A15" w:rsidRDefault="00200C71" w:rsidP="00FD0762">
      <w:pPr>
        <w:spacing w:after="0" w:line="240" w:lineRule="auto"/>
        <w:jc w:val="both"/>
        <w:rPr>
          <w:b/>
          <w:i/>
          <w:u w:val="single"/>
        </w:rPr>
      </w:pPr>
      <w:r>
        <w:rPr>
          <w:b/>
          <w:i/>
          <w:u w:val="single"/>
        </w:rPr>
        <w:t>Ausgangssituation</w:t>
      </w:r>
    </w:p>
    <w:p w14:paraId="60644301" w14:textId="77777777" w:rsidR="00200C71" w:rsidRPr="00FD0762" w:rsidRDefault="00200C71" w:rsidP="00FD0762">
      <w:pPr>
        <w:spacing w:after="0" w:line="240" w:lineRule="auto"/>
        <w:jc w:val="both"/>
        <w:rPr>
          <w:b/>
          <w:i/>
          <w:u w:val="single"/>
        </w:rPr>
      </w:pPr>
    </w:p>
    <w:p w14:paraId="016B72EE" w14:textId="77777777" w:rsidR="001A0A15" w:rsidRDefault="001A0A15" w:rsidP="00FD0762">
      <w:pPr>
        <w:spacing w:after="0" w:line="240" w:lineRule="auto"/>
        <w:jc w:val="both"/>
      </w:pPr>
      <w:r>
        <w:t>Das Gesetz zur Verbesserung des Onlinezugangs zu Verwaltungsleistungen (Onlinezugangsgesetz – OZG) verpflichtet Bund und Länder, ihre Verwaltungsleistungen bis zum Ende des Jahres 2022 auch elektronisch über Verwaltungsportale anzubieten. Zudem sind Bund und Länder verpflichtet, ihre Verwaltungsportale miteinander zu einem Portalverbund zu verknüpfen. Das OZG verpflichtet damit auch alle Kommunen bis zum 31. Dezember 2022 alle</w:t>
      </w:r>
      <w:bookmarkStart w:id="0" w:name="_GoBack"/>
      <w:bookmarkEnd w:id="0"/>
      <w:r>
        <w:t xml:space="preserve"> von der Kommune angebotenen Verwaltungsleistungen ebenfalls zusätzlich vollständig elektronisch abzubilden, inklusive einer Identifizierungs- und Bezahlmöglichkeit für Bürger und Unternehmen. Zudem werden sich aus dieser gesetzlichen Verpflichtung und deren Erfüllung erhebliche Auswirkungen auf die Arbeit der Kommunalverwaltungen im übertragenen Wirkungskreis ergeben. </w:t>
      </w:r>
    </w:p>
    <w:p w14:paraId="1224C7B7" w14:textId="77777777" w:rsidR="00D96103" w:rsidRDefault="00D96103" w:rsidP="00FD0762">
      <w:pPr>
        <w:spacing w:after="0" w:line="240" w:lineRule="auto"/>
        <w:jc w:val="both"/>
      </w:pPr>
    </w:p>
    <w:p w14:paraId="280E7440" w14:textId="77777777" w:rsidR="001A0A15" w:rsidRDefault="001A0A15" w:rsidP="00FD0762">
      <w:pPr>
        <w:spacing w:after="0" w:line="240" w:lineRule="auto"/>
        <w:jc w:val="both"/>
      </w:pPr>
      <w:r>
        <w:t>Darüber hinaus stellt auch die Umsetzung der Vorgaben aus dem Thüringer E-</w:t>
      </w:r>
      <w:proofErr w:type="spellStart"/>
      <w:r>
        <w:t>Government</w:t>
      </w:r>
      <w:proofErr w:type="spellEnd"/>
      <w:r>
        <w:t>-Gesetz (</w:t>
      </w:r>
      <w:proofErr w:type="spellStart"/>
      <w:r>
        <w:t>ThürEGovG</w:t>
      </w:r>
      <w:proofErr w:type="spellEnd"/>
      <w:r>
        <w:t xml:space="preserve">) die Kommunen in Thüringen vor erhebliche </w:t>
      </w:r>
      <w:r w:rsidR="008A3878">
        <w:t xml:space="preserve">Herausforderungen, die überwiegend nicht im Alleingang zu bewältigen sind. </w:t>
      </w:r>
    </w:p>
    <w:p w14:paraId="4D8E8624" w14:textId="77777777" w:rsidR="00D96103" w:rsidRDefault="00D96103" w:rsidP="00FD0762">
      <w:pPr>
        <w:spacing w:after="0" w:line="240" w:lineRule="auto"/>
        <w:jc w:val="both"/>
      </w:pPr>
    </w:p>
    <w:p w14:paraId="6FBCEED3" w14:textId="77777777" w:rsidR="008A3878" w:rsidRDefault="002D5B9B" w:rsidP="00FD0762">
      <w:pPr>
        <w:spacing w:after="0" w:line="240" w:lineRule="auto"/>
        <w:jc w:val="both"/>
      </w:pPr>
      <w:r>
        <w:t xml:space="preserve">Die kommunale Informationsverarbeitung </w:t>
      </w:r>
      <w:r w:rsidR="00D96103">
        <w:t xml:space="preserve">in Thüringen </w:t>
      </w:r>
      <w:r>
        <w:t xml:space="preserve">ist derzeit geprägt durch folgende Umstände: </w:t>
      </w:r>
    </w:p>
    <w:p w14:paraId="3E2311C8" w14:textId="77777777" w:rsidR="00D96103" w:rsidRDefault="00D96103" w:rsidP="00FD0762">
      <w:pPr>
        <w:spacing w:after="0" w:line="240" w:lineRule="auto"/>
        <w:jc w:val="both"/>
      </w:pPr>
    </w:p>
    <w:p w14:paraId="626E0C88" w14:textId="77777777" w:rsidR="00A577F2" w:rsidRDefault="002D5B9B" w:rsidP="00C501D4">
      <w:pPr>
        <w:pStyle w:val="Listenabsatz"/>
        <w:numPr>
          <w:ilvl w:val="0"/>
          <w:numId w:val="3"/>
        </w:numPr>
        <w:spacing w:after="0" w:line="240" w:lineRule="auto"/>
        <w:jc w:val="both"/>
      </w:pPr>
      <w:r>
        <w:t>Das Thüringer Landesrechenzentrum (TLRZ) ist Landes</w:t>
      </w:r>
      <w:r w:rsidR="0087484F">
        <w:t>-IT-D</w:t>
      </w:r>
      <w:r>
        <w:t xml:space="preserve">ienstleister und steht damit </w:t>
      </w:r>
      <w:r w:rsidR="009F1E12">
        <w:t xml:space="preserve">für </w:t>
      </w:r>
      <w:r>
        <w:t xml:space="preserve">IT-Verfahren den Kommunen nicht </w:t>
      </w:r>
      <w:r w:rsidR="009F1E12">
        <w:t>als kommunaler IT-Dienstleister</w:t>
      </w:r>
      <w:r w:rsidR="00D96103">
        <w:t xml:space="preserve"> zur Verfügung</w:t>
      </w:r>
      <w:r w:rsidR="009F1E12">
        <w:t>.</w:t>
      </w:r>
    </w:p>
    <w:p w14:paraId="32E3A64F" w14:textId="77777777" w:rsidR="00C501D4" w:rsidRDefault="00C501D4" w:rsidP="00A577F2">
      <w:pPr>
        <w:pStyle w:val="Listenabsatz"/>
        <w:spacing w:after="0" w:line="240" w:lineRule="auto"/>
        <w:jc w:val="both"/>
      </w:pPr>
    </w:p>
    <w:p w14:paraId="626FE390" w14:textId="77777777" w:rsidR="002D5B9B" w:rsidRDefault="002D5B9B" w:rsidP="00FD0762">
      <w:pPr>
        <w:pStyle w:val="Listenabsatz"/>
        <w:numPr>
          <w:ilvl w:val="0"/>
          <w:numId w:val="3"/>
        </w:numPr>
        <w:spacing w:after="0" w:line="240" w:lineRule="auto"/>
        <w:jc w:val="both"/>
      </w:pPr>
      <w:r>
        <w:t xml:space="preserve">Größere Verwaltungseinheiten setzen die Informationsverarbeitung durch </w:t>
      </w:r>
      <w:r w:rsidR="00A577F2">
        <w:t>eigene/</w:t>
      </w:r>
      <w:r>
        <w:t>interne Ressourcen um.</w:t>
      </w:r>
    </w:p>
    <w:p w14:paraId="7979F45C" w14:textId="77777777" w:rsidR="00A577F2" w:rsidRDefault="00A577F2" w:rsidP="00A577F2">
      <w:pPr>
        <w:spacing w:after="0" w:line="240" w:lineRule="auto"/>
        <w:jc w:val="both"/>
      </w:pPr>
    </w:p>
    <w:p w14:paraId="56A06096" w14:textId="77777777" w:rsidR="00EC263D" w:rsidRDefault="0087484F" w:rsidP="00FD0762">
      <w:pPr>
        <w:pStyle w:val="Listenabsatz"/>
        <w:numPr>
          <w:ilvl w:val="0"/>
          <w:numId w:val="3"/>
        </w:numPr>
        <w:spacing w:after="0" w:line="240" w:lineRule="auto"/>
        <w:jc w:val="both"/>
      </w:pPr>
      <w:r>
        <w:t xml:space="preserve">Die Kommunale Informationsverarbeitung Thüringen GmbH in Gotha mit den bisherigen Gesellschaftern ekom21 – Kommunales Gebietsrechenzentrum Hessen und Gemeinde- und Städtebund Thüringen bietet IT-Services auf der Grundlage von privatrechtlichen Verträgen den Kommunen in Thüringen an. Diese Leistungen und Services sind zuvor von den Gemeinden (ergebnisoffen) auszuschreiben. </w:t>
      </w:r>
    </w:p>
    <w:p w14:paraId="61A63B5F" w14:textId="77777777" w:rsidR="00A577F2" w:rsidRDefault="00A577F2" w:rsidP="00A577F2">
      <w:pPr>
        <w:pStyle w:val="Listenabsatz"/>
        <w:spacing w:after="0" w:line="240" w:lineRule="auto"/>
        <w:jc w:val="both"/>
      </w:pPr>
    </w:p>
    <w:p w14:paraId="4140A665" w14:textId="77777777" w:rsidR="0087484F" w:rsidRDefault="0087484F" w:rsidP="00FD0762">
      <w:pPr>
        <w:pStyle w:val="Listenabsatz"/>
        <w:numPr>
          <w:ilvl w:val="0"/>
          <w:numId w:val="3"/>
        </w:numPr>
        <w:spacing w:after="0" w:line="240" w:lineRule="auto"/>
        <w:jc w:val="both"/>
      </w:pPr>
      <w:r>
        <w:t>Das Land Thüringen stellt den Kommunen über die Thüringer E-</w:t>
      </w:r>
      <w:proofErr w:type="spellStart"/>
      <w:r>
        <w:t>Government</w:t>
      </w:r>
      <w:proofErr w:type="spellEnd"/>
      <w:r>
        <w:t xml:space="preserve"> Förderrichtlinie Gelder in Höhe von insgesamt 80 Mio. Euro verteilt über 5 Jahre zur Verfügung. Diese Fördermittel wurden bisher in nur unz</w:t>
      </w:r>
      <w:r w:rsidR="00A577F2">
        <w:t>ureichendem Umfang ausgereicht.</w:t>
      </w:r>
    </w:p>
    <w:p w14:paraId="683C4655" w14:textId="77777777" w:rsidR="00A577F2" w:rsidRDefault="00A577F2" w:rsidP="00A577F2">
      <w:pPr>
        <w:pStyle w:val="Listenabsatz"/>
      </w:pPr>
    </w:p>
    <w:p w14:paraId="6B631C51" w14:textId="77777777" w:rsidR="0087484F" w:rsidRDefault="0087484F" w:rsidP="00FD0762">
      <w:pPr>
        <w:spacing w:after="0" w:line="240" w:lineRule="auto"/>
        <w:jc w:val="both"/>
      </w:pPr>
      <w:r>
        <w:t>Diese Umstände sind kaum geeignet, den künftigen Anforderungen, die u. a. aus den bereits genannten gesetzlichen Anforderungen resultieren</w:t>
      </w:r>
      <w:r w:rsidR="00497566">
        <w:t>,</w:t>
      </w:r>
      <w:r>
        <w:t xml:space="preserve"> im erford</w:t>
      </w:r>
      <w:r w:rsidR="007F599D">
        <w:t>erlichen Maß gerecht zu werden.</w:t>
      </w:r>
    </w:p>
    <w:p w14:paraId="54424FC7" w14:textId="77777777" w:rsidR="00A577F2" w:rsidRDefault="00A577F2" w:rsidP="00FD0762">
      <w:pPr>
        <w:spacing w:after="0" w:line="240" w:lineRule="auto"/>
        <w:jc w:val="both"/>
      </w:pPr>
    </w:p>
    <w:p w14:paraId="0EFB64FB" w14:textId="77777777" w:rsidR="003B5D70" w:rsidRDefault="00C264DB" w:rsidP="00FD0762">
      <w:pPr>
        <w:spacing w:after="0" w:line="240" w:lineRule="auto"/>
        <w:jc w:val="both"/>
        <w:rPr>
          <w:b/>
          <w:i/>
          <w:u w:val="single"/>
        </w:rPr>
      </w:pPr>
      <w:r w:rsidRPr="00FD0762">
        <w:rPr>
          <w:b/>
          <w:i/>
          <w:u w:val="single"/>
        </w:rPr>
        <w:t>Entwicklung eines Thüringer kommunalen IT-Dienstleisters</w:t>
      </w:r>
    </w:p>
    <w:p w14:paraId="5D5DA2EF" w14:textId="77777777" w:rsidR="00A577F2" w:rsidRPr="00FD0762" w:rsidRDefault="00A577F2" w:rsidP="00FD0762">
      <w:pPr>
        <w:spacing w:after="0" w:line="240" w:lineRule="auto"/>
        <w:jc w:val="both"/>
        <w:rPr>
          <w:b/>
          <w:i/>
          <w:u w:val="single"/>
        </w:rPr>
      </w:pPr>
    </w:p>
    <w:p w14:paraId="6C409C0A" w14:textId="77777777" w:rsidR="00526114" w:rsidRDefault="00526114" w:rsidP="00FD0762">
      <w:pPr>
        <w:spacing w:after="0" w:line="240" w:lineRule="auto"/>
        <w:jc w:val="both"/>
      </w:pPr>
      <w:r>
        <w:t>Ein Blick in alle anderen Bundesländer zeigt, dass sich dort zur Koordination und Aufgabenteilung mit einer indirekten oder direkten Beteiligung von Verwaltungen und kommunalen Spitzenverbänden zahlreiche kommunale IT- Dienstleister etabliert haben</w:t>
      </w:r>
      <w:r w:rsidR="00D252AC">
        <w:t>. Es ist davon auszugehen, dass diese</w:t>
      </w:r>
      <w:r>
        <w:t xml:space="preserve"> aufgrund ihres Angebotes und der Möglichkeit, die Leistungen </w:t>
      </w:r>
      <w:r w:rsidR="006E0BEC">
        <w:t xml:space="preserve">dort </w:t>
      </w:r>
      <w:r>
        <w:t xml:space="preserve">u. U. </w:t>
      </w:r>
      <w:proofErr w:type="spellStart"/>
      <w:r>
        <w:t>inhousefähig</w:t>
      </w:r>
      <w:proofErr w:type="spellEnd"/>
      <w:r>
        <w:t xml:space="preserve"> zu erwerben, qualifizierter </w:t>
      </w:r>
      <w:r w:rsidR="00D252AC">
        <w:t xml:space="preserve">sind, die anstehenden Herausforderungen gemeinsam mit den Kommunen zu meistern. </w:t>
      </w:r>
    </w:p>
    <w:p w14:paraId="05AF1715" w14:textId="77777777" w:rsidR="00A577F2" w:rsidRDefault="00A577F2" w:rsidP="00FD0762">
      <w:pPr>
        <w:spacing w:after="0" w:line="240" w:lineRule="auto"/>
        <w:jc w:val="both"/>
      </w:pPr>
    </w:p>
    <w:p w14:paraId="2915463D" w14:textId="77777777" w:rsidR="00200C71" w:rsidRDefault="00526114" w:rsidP="00681B61">
      <w:pPr>
        <w:spacing w:after="0" w:line="240" w:lineRule="auto"/>
        <w:jc w:val="both"/>
      </w:pPr>
      <w:r>
        <w:t xml:space="preserve">Um eine solche Einrichtung auch für Thüringer Kommunen zu ermöglichen, haben sich </w:t>
      </w:r>
      <w:r w:rsidR="003E6E9A">
        <w:t xml:space="preserve">das </w:t>
      </w:r>
      <w:r>
        <w:t xml:space="preserve">Land Thüringen, </w:t>
      </w:r>
      <w:r w:rsidR="007F599D">
        <w:t>die ekom21 – Kommunales Gebietsrechenzentrum Hessen und de</w:t>
      </w:r>
      <w:r w:rsidR="00D255C7">
        <w:t xml:space="preserve">r </w:t>
      </w:r>
      <w:r w:rsidR="007F599D">
        <w:t xml:space="preserve">Gemeinde- und Städtebund Thüringen </w:t>
      </w:r>
      <w:r w:rsidR="00FD0762">
        <w:t xml:space="preserve">e. V. </w:t>
      </w:r>
      <w:r w:rsidR="007F599D">
        <w:t xml:space="preserve">in den vergangenen Monaten über eine mögliche Umgestaltung der </w:t>
      </w:r>
      <w:r w:rsidR="00FD0762">
        <w:t xml:space="preserve">bestehenden </w:t>
      </w:r>
      <w:r w:rsidR="007F599D">
        <w:t xml:space="preserve">Kommunalen Informationsverarbeitung Thüringen GmbH </w:t>
      </w:r>
      <w:r w:rsidR="000D7D35">
        <w:t>beraten und abgestimmt</w:t>
      </w:r>
      <w:r w:rsidR="00A577F2">
        <w:t>.</w:t>
      </w:r>
      <w:r w:rsidR="00200C71">
        <w:br w:type="page"/>
      </w:r>
    </w:p>
    <w:p w14:paraId="3034622F" w14:textId="77777777" w:rsidR="00AB6946" w:rsidRDefault="00AB6946" w:rsidP="00FD0762">
      <w:pPr>
        <w:pStyle w:val="Listenabsatz"/>
        <w:numPr>
          <w:ilvl w:val="0"/>
          <w:numId w:val="3"/>
        </w:numPr>
        <w:spacing w:after="0" w:line="240" w:lineRule="auto"/>
        <w:jc w:val="both"/>
        <w:rPr>
          <w:i/>
          <w:u w:val="single"/>
        </w:rPr>
      </w:pPr>
      <w:r w:rsidRPr="00FD0762">
        <w:rPr>
          <w:i/>
          <w:u w:val="single"/>
        </w:rPr>
        <w:lastRenderedPageBreak/>
        <w:t xml:space="preserve">Öffnung der Kommunalen Informationsverarbeitung </w:t>
      </w:r>
      <w:r w:rsidR="00200C71">
        <w:rPr>
          <w:i/>
          <w:u w:val="single"/>
        </w:rPr>
        <w:t>Thüringen GmbH</w:t>
      </w:r>
    </w:p>
    <w:p w14:paraId="64A77E9D" w14:textId="77777777" w:rsidR="00200C71" w:rsidRPr="00FD0762" w:rsidRDefault="00200C71" w:rsidP="00200C71">
      <w:pPr>
        <w:pStyle w:val="Listenabsatz"/>
        <w:spacing w:after="0" w:line="240" w:lineRule="auto"/>
        <w:jc w:val="both"/>
        <w:rPr>
          <w:i/>
          <w:u w:val="single"/>
        </w:rPr>
      </w:pPr>
    </w:p>
    <w:p w14:paraId="08B12933" w14:textId="77777777" w:rsidR="000A01DE" w:rsidRDefault="00FD0762" w:rsidP="00FD0762">
      <w:pPr>
        <w:spacing w:after="0" w:line="240" w:lineRule="auto"/>
        <w:jc w:val="both"/>
        <w:rPr>
          <w:rFonts w:ascii="Calibri" w:eastAsia="Times New Roman" w:hAnsi="Calibri" w:cs="Times New Roman"/>
          <w:lang w:eastAsia="de-DE"/>
        </w:rPr>
      </w:pPr>
      <w:r>
        <w:rPr>
          <w:rFonts w:ascii="Calibri" w:eastAsia="Times New Roman" w:hAnsi="Calibri" w:cs="Times New Roman"/>
          <w:lang w:eastAsia="de-DE"/>
        </w:rPr>
        <w:t>Ausgangspunkt des k</w:t>
      </w:r>
      <w:r w:rsidR="00B372B7" w:rsidRPr="00E4614C">
        <w:rPr>
          <w:rFonts w:ascii="Calibri" w:eastAsia="Times New Roman" w:hAnsi="Calibri" w:cs="Times New Roman"/>
          <w:lang w:eastAsia="de-DE"/>
        </w:rPr>
        <w:t xml:space="preserve">ommunalen IT-Dienstleisters für Thüringen </w:t>
      </w:r>
      <w:r w:rsidR="00B372B7">
        <w:rPr>
          <w:rFonts w:ascii="Calibri" w:eastAsia="Times New Roman" w:hAnsi="Calibri" w:cs="Times New Roman"/>
          <w:lang w:eastAsia="de-DE"/>
        </w:rPr>
        <w:t xml:space="preserve">ist </w:t>
      </w:r>
      <w:r w:rsidR="00B372B7" w:rsidRPr="00E4614C">
        <w:rPr>
          <w:rFonts w:ascii="Calibri" w:eastAsia="Times New Roman" w:hAnsi="Calibri" w:cs="Times New Roman"/>
          <w:lang w:eastAsia="de-DE"/>
        </w:rPr>
        <w:t>die Kommunale Informationsverarbeitung Thüringen</w:t>
      </w:r>
      <w:r w:rsidR="00B372B7" w:rsidRPr="00B372B7">
        <w:rPr>
          <w:rFonts w:ascii="Calibri" w:eastAsia="Times New Roman" w:hAnsi="Calibri" w:cs="Times New Roman"/>
          <w:lang w:eastAsia="de-DE"/>
        </w:rPr>
        <w:t xml:space="preserve"> Gmb</w:t>
      </w:r>
      <w:r w:rsidR="002A759A">
        <w:rPr>
          <w:rFonts w:ascii="Calibri" w:eastAsia="Times New Roman" w:hAnsi="Calibri" w:cs="Times New Roman"/>
          <w:lang w:eastAsia="de-DE"/>
        </w:rPr>
        <w:t>H</w:t>
      </w:r>
      <w:r w:rsidR="00B372B7">
        <w:rPr>
          <w:rFonts w:ascii="Calibri" w:eastAsia="Times New Roman" w:hAnsi="Calibri" w:cs="Times New Roman"/>
          <w:lang w:eastAsia="de-DE"/>
        </w:rPr>
        <w:t>. M</w:t>
      </w:r>
      <w:r w:rsidR="00B372B7" w:rsidRPr="00E4614C">
        <w:rPr>
          <w:rFonts w:ascii="Calibri" w:eastAsia="Times New Roman" w:hAnsi="Calibri" w:cs="Times New Roman"/>
          <w:lang w:eastAsia="de-DE"/>
        </w:rPr>
        <w:t xml:space="preserve">it </w:t>
      </w:r>
      <w:r w:rsidR="00B372B7">
        <w:rPr>
          <w:rFonts w:ascii="Calibri" w:eastAsia="Times New Roman" w:hAnsi="Calibri" w:cs="Times New Roman"/>
          <w:lang w:eastAsia="de-DE"/>
        </w:rPr>
        <w:t>dieser ist</w:t>
      </w:r>
      <w:r w:rsidR="00B372B7" w:rsidRPr="00B372B7">
        <w:rPr>
          <w:rFonts w:ascii="Calibri" w:eastAsia="Times New Roman" w:hAnsi="Calibri" w:cs="Times New Roman"/>
          <w:lang w:eastAsia="de-DE"/>
        </w:rPr>
        <w:t xml:space="preserve"> bereits ein Akteur vorhanden</w:t>
      </w:r>
      <w:r w:rsidR="00B372B7" w:rsidRPr="00E4614C">
        <w:rPr>
          <w:rFonts w:ascii="Calibri" w:eastAsia="Times New Roman" w:hAnsi="Calibri" w:cs="Times New Roman"/>
          <w:lang w:eastAsia="de-DE"/>
        </w:rPr>
        <w:t>, der</w:t>
      </w:r>
      <w:r w:rsidR="00B372B7">
        <w:rPr>
          <w:rFonts w:ascii="Calibri" w:eastAsia="Times New Roman" w:hAnsi="Calibri" w:cs="Times New Roman"/>
          <w:lang w:eastAsia="de-DE"/>
        </w:rPr>
        <w:t xml:space="preserve"> sich</w:t>
      </w:r>
      <w:r w:rsidR="00B372B7" w:rsidRPr="00E4614C">
        <w:rPr>
          <w:rFonts w:ascii="Calibri" w:eastAsia="Times New Roman" w:hAnsi="Calibri" w:cs="Times New Roman"/>
          <w:lang w:eastAsia="de-DE"/>
        </w:rPr>
        <w:t xml:space="preserve"> im Bereich der kommunalen Informationsverarbeitung seit vielen Jahren </w:t>
      </w:r>
      <w:r w:rsidR="00B372B7">
        <w:rPr>
          <w:rFonts w:ascii="Calibri" w:eastAsia="Times New Roman" w:hAnsi="Calibri" w:cs="Times New Roman"/>
          <w:lang w:eastAsia="de-DE"/>
        </w:rPr>
        <w:t>be</w:t>
      </w:r>
      <w:r w:rsidR="00B372B7" w:rsidRPr="00E4614C">
        <w:rPr>
          <w:rFonts w:ascii="Calibri" w:eastAsia="Times New Roman" w:hAnsi="Calibri" w:cs="Times New Roman"/>
          <w:lang w:eastAsia="de-DE"/>
        </w:rPr>
        <w:t>tätig</w:t>
      </w:r>
      <w:r w:rsidR="00B372B7">
        <w:rPr>
          <w:rFonts w:ascii="Calibri" w:eastAsia="Times New Roman" w:hAnsi="Calibri" w:cs="Times New Roman"/>
          <w:lang w:eastAsia="de-DE"/>
        </w:rPr>
        <w:t>t</w:t>
      </w:r>
      <w:r w:rsidR="00B372B7" w:rsidRPr="00B372B7">
        <w:rPr>
          <w:rFonts w:ascii="Calibri" w:eastAsia="Times New Roman" w:hAnsi="Calibri" w:cs="Times New Roman"/>
          <w:lang w:eastAsia="de-DE"/>
        </w:rPr>
        <w:t xml:space="preserve">. </w:t>
      </w:r>
    </w:p>
    <w:p w14:paraId="0F864D0B" w14:textId="77777777" w:rsidR="00A577F2" w:rsidRDefault="00A577F2" w:rsidP="00FD0762">
      <w:pPr>
        <w:spacing w:after="0" w:line="240" w:lineRule="auto"/>
        <w:jc w:val="both"/>
        <w:rPr>
          <w:rFonts w:ascii="Calibri" w:eastAsia="Times New Roman" w:hAnsi="Calibri" w:cs="Times New Roman"/>
          <w:lang w:eastAsia="de-DE"/>
        </w:rPr>
      </w:pPr>
    </w:p>
    <w:p w14:paraId="2E46455C" w14:textId="77777777" w:rsidR="000A01DE" w:rsidRDefault="000A01DE" w:rsidP="00FD0762">
      <w:pPr>
        <w:spacing w:after="0" w:line="240" w:lineRule="auto"/>
        <w:jc w:val="both"/>
      </w:pPr>
      <w:r>
        <w:t>Gesellschafter der Kommunalen Informations</w:t>
      </w:r>
      <w:r w:rsidR="00A577F2">
        <w:t>verarbeitung Thüringen GmbH waren bis</w:t>
      </w:r>
      <w:r>
        <w:t xml:space="preserve"> zum </w:t>
      </w:r>
      <w:r w:rsidR="00497566">
        <w:t xml:space="preserve"> 27. Mai 2020</w:t>
      </w:r>
      <w:r w:rsidR="00681B61">
        <w:t xml:space="preserve"> </w:t>
      </w:r>
      <w:r>
        <w:t xml:space="preserve">der Gemeinde- und Städtebund Thüringen e. V. zu </w:t>
      </w:r>
      <w:r w:rsidR="00FD0762">
        <w:t xml:space="preserve">rund </w:t>
      </w:r>
      <w:r>
        <w:t xml:space="preserve">49% sowie die ekom21 – Kommunales Gebietsrechenzentrum Hessen, ebenfalls zu </w:t>
      </w:r>
      <w:r w:rsidR="00FD0762">
        <w:t xml:space="preserve">rund </w:t>
      </w:r>
      <w:r w:rsidR="00A577F2">
        <w:t>49%. Die verbleibenden 2% hielt</w:t>
      </w:r>
      <w:r>
        <w:t xml:space="preserve"> die </w:t>
      </w:r>
      <w:r w:rsidR="00F80928">
        <w:t xml:space="preserve">KIV </w:t>
      </w:r>
      <w:r>
        <w:t xml:space="preserve">GmbH </w:t>
      </w:r>
      <w:r w:rsidR="00F80928">
        <w:t xml:space="preserve">bislang </w:t>
      </w:r>
      <w:r>
        <w:t xml:space="preserve">selbst. </w:t>
      </w:r>
      <w:r w:rsidR="001C31D7">
        <w:t xml:space="preserve">Seit dem </w:t>
      </w:r>
      <w:r w:rsidR="00497566">
        <w:t xml:space="preserve">27. Mai 2020 </w:t>
      </w:r>
      <w:r w:rsidR="001C31D7">
        <w:t xml:space="preserve">halten der Gemeinde- und Städtebund Thüringen e. V. und die ekom21 – Kommunales Gebietsrechenzentrum Hessen jeweils </w:t>
      </w:r>
      <w:r w:rsidR="00497566">
        <w:t>4</w:t>
      </w:r>
      <w:r w:rsidR="001C31D7">
        <w:t>5,</w:t>
      </w:r>
      <w:r w:rsidR="00681B61">
        <w:t>4</w:t>
      </w:r>
      <w:r w:rsidR="001C31D7">
        <w:t>5% der Gesellschaftsanteile</w:t>
      </w:r>
      <w:r w:rsidR="00681B61">
        <w:t>.</w:t>
      </w:r>
      <w:r w:rsidR="001C31D7">
        <w:t xml:space="preserve"> </w:t>
      </w:r>
      <w:r w:rsidR="00681B61">
        <w:t>D</w:t>
      </w:r>
      <w:r w:rsidR="001C31D7">
        <w:t xml:space="preserve">as Land hat </w:t>
      </w:r>
      <w:r w:rsidR="00497566">
        <w:t>9</w:t>
      </w:r>
      <w:r w:rsidR="00681B61">
        <w:t>,09</w:t>
      </w:r>
      <w:r w:rsidR="001C31D7">
        <w:t xml:space="preserve">% der </w:t>
      </w:r>
      <w:r w:rsidR="004A4CD7">
        <w:t>Geschäftsa</w:t>
      </w:r>
      <w:r w:rsidR="001C31D7">
        <w:t xml:space="preserve">nteile erworben. Das Stammkapital der Gesellschaft beträgt 25.800 Euro. </w:t>
      </w:r>
    </w:p>
    <w:p w14:paraId="58DFB442" w14:textId="77777777" w:rsidR="00A577F2" w:rsidRDefault="00A577F2" w:rsidP="00FD0762">
      <w:pPr>
        <w:spacing w:after="0" w:line="240" w:lineRule="auto"/>
        <w:jc w:val="both"/>
      </w:pPr>
    </w:p>
    <w:p w14:paraId="19134004" w14:textId="77777777" w:rsidR="002A759A" w:rsidRDefault="00B372B7" w:rsidP="00FD0762">
      <w:pPr>
        <w:spacing w:after="0" w:line="240" w:lineRule="auto"/>
        <w:jc w:val="both"/>
        <w:rPr>
          <w:rFonts w:ascii="Calibri" w:eastAsia="Times New Roman" w:hAnsi="Calibri" w:cs="Calibri"/>
          <w:lang w:eastAsia="de-DE"/>
        </w:rPr>
      </w:pPr>
      <w:r w:rsidRPr="00B372B7">
        <w:rPr>
          <w:rFonts w:ascii="Calibri" w:eastAsia="Times New Roman" w:hAnsi="Calibri" w:cs="Times New Roman"/>
          <w:lang w:eastAsia="de-DE"/>
        </w:rPr>
        <w:t>Die</w:t>
      </w:r>
      <w:r>
        <w:rPr>
          <w:rFonts w:ascii="Calibri" w:eastAsia="Times New Roman" w:hAnsi="Calibri" w:cs="Times New Roman"/>
          <w:lang w:eastAsia="de-DE"/>
        </w:rPr>
        <w:t xml:space="preserve"> KIV GmbH</w:t>
      </w:r>
      <w:r w:rsidRPr="00E4614C">
        <w:rPr>
          <w:rFonts w:ascii="Calibri" w:eastAsia="Times New Roman" w:hAnsi="Calibri" w:cs="Times New Roman"/>
          <w:lang w:eastAsia="de-DE"/>
        </w:rPr>
        <w:t xml:space="preserve"> soll in ihrer jetzigen Rechtsform als Gesellschaft mit beschränkter Haftung bestehen bleiben und für den Beitritt von einzelnen Gemeinden, Städten und Verwaltungsgemeinschaften </w:t>
      </w:r>
      <w:r>
        <w:rPr>
          <w:rFonts w:ascii="Calibri" w:eastAsia="Times New Roman" w:hAnsi="Calibri" w:cs="Times New Roman"/>
          <w:lang w:eastAsia="de-DE"/>
        </w:rPr>
        <w:t xml:space="preserve">als Gesellschafter </w:t>
      </w:r>
      <w:r w:rsidR="00AB6946">
        <w:rPr>
          <w:rFonts w:ascii="Calibri" w:eastAsia="Times New Roman" w:hAnsi="Calibri" w:cs="Times New Roman"/>
          <w:lang w:eastAsia="de-DE"/>
        </w:rPr>
        <w:t xml:space="preserve">durch den Erwerb von Gesellschaftsanteilen </w:t>
      </w:r>
      <w:r w:rsidRPr="00E4614C">
        <w:rPr>
          <w:rFonts w:ascii="Calibri" w:eastAsia="Times New Roman" w:hAnsi="Calibri" w:cs="Times New Roman"/>
          <w:lang w:eastAsia="de-DE"/>
        </w:rPr>
        <w:t xml:space="preserve">geöffnet werden. </w:t>
      </w:r>
      <w:r w:rsidR="006E0BEC" w:rsidRPr="000A01DE">
        <w:rPr>
          <w:rFonts w:ascii="Calibri" w:eastAsia="Times New Roman" w:hAnsi="Calibri" w:cs="Times New Roman"/>
          <w:lang w:eastAsia="de-DE"/>
        </w:rPr>
        <w:t xml:space="preserve">Weitere zentrale Zielstellung </w:t>
      </w:r>
      <w:r w:rsidR="006E0BEC" w:rsidRPr="00E4614C">
        <w:rPr>
          <w:rFonts w:ascii="Calibri" w:eastAsia="Times New Roman" w:hAnsi="Calibri" w:cs="Calibri"/>
          <w:lang w:eastAsia="de-DE"/>
        </w:rPr>
        <w:t xml:space="preserve">bei der Errichtung des </w:t>
      </w:r>
      <w:r w:rsidR="00FD0762">
        <w:rPr>
          <w:rFonts w:ascii="Calibri" w:eastAsia="Times New Roman" w:hAnsi="Calibri" w:cs="Calibri"/>
          <w:lang w:eastAsia="de-DE"/>
        </w:rPr>
        <w:t>k</w:t>
      </w:r>
      <w:r w:rsidR="006E0BEC" w:rsidRPr="00E4614C">
        <w:rPr>
          <w:rFonts w:ascii="Calibri" w:eastAsia="Times New Roman" w:hAnsi="Calibri" w:cs="Calibri"/>
          <w:lang w:eastAsia="de-DE"/>
        </w:rPr>
        <w:t xml:space="preserve">ommunalen IT-Dienstleisters ist das Erreichen der sog. </w:t>
      </w:r>
      <w:proofErr w:type="spellStart"/>
      <w:r w:rsidR="006E0BEC" w:rsidRPr="00E4614C">
        <w:rPr>
          <w:rFonts w:ascii="Calibri" w:eastAsia="Times New Roman" w:hAnsi="Calibri" w:cs="Calibri"/>
          <w:lang w:eastAsia="de-DE"/>
        </w:rPr>
        <w:t>Inhouse</w:t>
      </w:r>
      <w:proofErr w:type="spellEnd"/>
      <w:r w:rsidR="006E0BEC" w:rsidRPr="00E4614C">
        <w:rPr>
          <w:rFonts w:ascii="Calibri" w:eastAsia="Times New Roman" w:hAnsi="Calibri" w:cs="Calibri"/>
          <w:lang w:eastAsia="de-DE"/>
        </w:rPr>
        <w:t>-Fähigkeit.</w:t>
      </w:r>
    </w:p>
    <w:p w14:paraId="128B8C7B" w14:textId="77777777" w:rsidR="00A577F2" w:rsidRPr="000A01DE" w:rsidRDefault="00A577F2" w:rsidP="00FD0762">
      <w:pPr>
        <w:spacing w:after="0" w:line="240" w:lineRule="auto"/>
        <w:jc w:val="both"/>
        <w:rPr>
          <w:rFonts w:ascii="Calibri" w:eastAsia="Times New Roman" w:hAnsi="Calibri" w:cs="Times New Roman"/>
          <w:lang w:eastAsia="de-DE"/>
        </w:rPr>
      </w:pPr>
    </w:p>
    <w:p w14:paraId="0E9918E9" w14:textId="77777777" w:rsidR="00B372B7" w:rsidRDefault="00A577F2" w:rsidP="00FD0762">
      <w:pPr>
        <w:spacing w:after="0" w:line="240" w:lineRule="auto"/>
        <w:jc w:val="both"/>
      </w:pPr>
      <w:r>
        <w:rPr>
          <w:rFonts w:ascii="Calibri" w:eastAsia="Times New Roman" w:hAnsi="Calibri" w:cs="Times New Roman"/>
          <w:lang w:eastAsia="de-DE"/>
        </w:rPr>
        <w:t>D</w:t>
      </w:r>
      <w:r w:rsidR="00B372B7" w:rsidRPr="00E4614C">
        <w:rPr>
          <w:rFonts w:ascii="Calibri" w:eastAsia="Times New Roman" w:hAnsi="Calibri" w:cs="Times New Roman"/>
          <w:lang w:eastAsia="de-DE"/>
        </w:rPr>
        <w:t>as Land Thüringen</w:t>
      </w:r>
      <w:r>
        <w:rPr>
          <w:rFonts w:ascii="Calibri" w:eastAsia="Times New Roman" w:hAnsi="Calibri" w:cs="Times New Roman"/>
          <w:lang w:eastAsia="de-DE"/>
        </w:rPr>
        <w:t xml:space="preserve"> ist bereits</w:t>
      </w:r>
      <w:r w:rsidR="00B372B7" w:rsidRPr="00E4614C">
        <w:rPr>
          <w:rFonts w:ascii="Calibri" w:eastAsia="Times New Roman" w:hAnsi="Calibri" w:cs="Times New Roman"/>
          <w:lang w:eastAsia="de-DE"/>
        </w:rPr>
        <w:t xml:space="preserve"> Gesellschafter</w:t>
      </w:r>
      <w:r>
        <w:rPr>
          <w:rFonts w:ascii="Calibri" w:eastAsia="Times New Roman" w:hAnsi="Calibri" w:cs="Times New Roman"/>
          <w:lang w:eastAsia="de-DE"/>
        </w:rPr>
        <w:t>in</w:t>
      </w:r>
      <w:r w:rsidR="00B372B7" w:rsidRPr="00E4614C">
        <w:rPr>
          <w:rFonts w:ascii="Calibri" w:eastAsia="Times New Roman" w:hAnsi="Calibri" w:cs="Times New Roman"/>
          <w:lang w:eastAsia="de-DE"/>
        </w:rPr>
        <w:t xml:space="preserve"> des </w:t>
      </w:r>
      <w:r w:rsidR="00FD0762">
        <w:rPr>
          <w:rFonts w:ascii="Calibri" w:eastAsia="Times New Roman" w:hAnsi="Calibri" w:cs="Times New Roman"/>
          <w:lang w:eastAsia="de-DE"/>
        </w:rPr>
        <w:t>k</w:t>
      </w:r>
      <w:r w:rsidR="00B372B7" w:rsidRPr="00E4614C">
        <w:rPr>
          <w:rFonts w:ascii="Calibri" w:eastAsia="Times New Roman" w:hAnsi="Calibri" w:cs="Times New Roman"/>
          <w:lang w:eastAsia="de-DE"/>
        </w:rPr>
        <w:t>ommunalen IT-Dienstleisters</w:t>
      </w:r>
      <w:r>
        <w:rPr>
          <w:rFonts w:ascii="Calibri" w:eastAsia="Times New Roman" w:hAnsi="Calibri" w:cs="Times New Roman"/>
          <w:lang w:eastAsia="de-DE"/>
        </w:rPr>
        <w:t xml:space="preserve"> geworden</w:t>
      </w:r>
      <w:r w:rsidR="00B372B7" w:rsidRPr="00E4614C">
        <w:rPr>
          <w:rFonts w:ascii="Calibri" w:eastAsia="Times New Roman" w:hAnsi="Calibri" w:cs="Times New Roman"/>
          <w:lang w:eastAsia="de-DE"/>
        </w:rPr>
        <w:t>.</w:t>
      </w:r>
      <w:r w:rsidR="00AB6946">
        <w:rPr>
          <w:rFonts w:ascii="Calibri" w:eastAsia="Times New Roman" w:hAnsi="Calibri" w:cs="Times New Roman"/>
          <w:lang w:eastAsia="de-DE"/>
        </w:rPr>
        <w:t xml:space="preserve"> </w:t>
      </w:r>
      <w:r w:rsidR="00B372B7" w:rsidRPr="00516C69">
        <w:t>Durch die</w:t>
      </w:r>
      <w:r>
        <w:t>se Beteiligung des Landes am k</w:t>
      </w:r>
      <w:r w:rsidR="00B372B7">
        <w:t>ommunalen IT-</w:t>
      </w:r>
      <w:r w:rsidR="00B372B7" w:rsidRPr="00516C69">
        <w:t xml:space="preserve">Dienstleister kann </w:t>
      </w:r>
      <w:r w:rsidR="00B372B7">
        <w:t>in dieser engen Kooperation die Digitalisierung in Thüringen vorangetrieben sowie die</w:t>
      </w:r>
      <w:r w:rsidR="00B372B7" w:rsidRPr="00516C69">
        <w:t xml:space="preserve"> Zusammenarbeit mit dem Landesdienstleister TLRZ bestmöglich koordiniert und </w:t>
      </w:r>
      <w:r w:rsidR="00B372B7">
        <w:t>in</w:t>
      </w:r>
      <w:r w:rsidR="00B372B7" w:rsidRPr="00516C69">
        <w:t xml:space="preserve"> sinnvolle</w:t>
      </w:r>
      <w:r w:rsidR="00B372B7">
        <w:t>r</w:t>
      </w:r>
      <w:r w:rsidR="00B372B7" w:rsidRPr="00516C69">
        <w:t xml:space="preserve"> Arbeitsteilung organisiert werden (</w:t>
      </w:r>
      <w:r w:rsidR="00B372B7">
        <w:t>bspw.</w:t>
      </w:r>
      <w:r w:rsidR="00B372B7" w:rsidRPr="00516C69">
        <w:t xml:space="preserve"> bei der Umsetzung von </w:t>
      </w:r>
      <w:proofErr w:type="spellStart"/>
      <w:r w:rsidR="00B372B7">
        <w:t>i</w:t>
      </w:r>
      <w:r w:rsidR="00B372B7" w:rsidRPr="00516C69">
        <w:t>K</w:t>
      </w:r>
      <w:r w:rsidR="00B372B7">
        <w:t>fz</w:t>
      </w:r>
      <w:proofErr w:type="spellEnd"/>
      <w:r w:rsidR="00B372B7" w:rsidRPr="00516C69">
        <w:t xml:space="preserve"> Stufe 3). </w:t>
      </w:r>
    </w:p>
    <w:p w14:paraId="225D6E66" w14:textId="77777777" w:rsidR="00A577F2" w:rsidRDefault="00A577F2" w:rsidP="00FD0762">
      <w:pPr>
        <w:spacing w:after="0" w:line="240" w:lineRule="auto"/>
        <w:jc w:val="both"/>
        <w:rPr>
          <w:rFonts w:ascii="Calibri" w:eastAsia="Times New Roman" w:hAnsi="Calibri" w:cs="Calibri"/>
          <w:lang w:eastAsia="de-DE"/>
        </w:rPr>
      </w:pPr>
    </w:p>
    <w:p w14:paraId="75610B07" w14:textId="77777777" w:rsidR="00B372B7" w:rsidRPr="00E4614C" w:rsidRDefault="006E0BEC" w:rsidP="00FD0762">
      <w:pPr>
        <w:spacing w:after="0" w:line="240" w:lineRule="auto"/>
        <w:jc w:val="both"/>
        <w:rPr>
          <w:rFonts w:ascii="Calibri" w:eastAsia="Times New Roman" w:hAnsi="Calibri" w:cs="Calibri"/>
          <w:lang w:eastAsia="de-DE"/>
        </w:rPr>
      </w:pPr>
      <w:r w:rsidRPr="00E4614C">
        <w:rPr>
          <w:rFonts w:ascii="Calibri" w:eastAsia="Times New Roman" w:hAnsi="Calibri" w:cs="Calibri"/>
          <w:lang w:eastAsia="de-DE"/>
        </w:rPr>
        <w:t xml:space="preserve">Aufgrund der Öffnung der Gesellschaft für die Kommunen sowie zur </w:t>
      </w:r>
      <w:r w:rsidR="000A01DE" w:rsidRPr="00E4614C">
        <w:rPr>
          <w:rFonts w:ascii="Calibri" w:eastAsia="Times New Roman" w:hAnsi="Calibri" w:cs="Calibri"/>
          <w:lang w:eastAsia="de-DE"/>
        </w:rPr>
        <w:t>möglichen</w:t>
      </w:r>
      <w:r w:rsidR="00B372B7" w:rsidRPr="00E4614C">
        <w:rPr>
          <w:rFonts w:ascii="Calibri" w:eastAsia="Times New Roman" w:hAnsi="Calibri" w:cs="Calibri"/>
          <w:lang w:eastAsia="de-DE"/>
        </w:rPr>
        <w:t xml:space="preserve"> </w:t>
      </w:r>
      <w:r w:rsidR="000A01DE" w:rsidRPr="00E4614C">
        <w:rPr>
          <w:rFonts w:ascii="Calibri" w:eastAsia="Times New Roman" w:hAnsi="Calibri" w:cs="Calibri"/>
          <w:lang w:eastAsia="de-DE"/>
        </w:rPr>
        <w:t xml:space="preserve">Erreichung der </w:t>
      </w:r>
      <w:proofErr w:type="spellStart"/>
      <w:r w:rsidR="00B372B7" w:rsidRPr="00E4614C">
        <w:rPr>
          <w:rFonts w:ascii="Calibri" w:eastAsia="Times New Roman" w:hAnsi="Calibri" w:cs="Calibri"/>
          <w:lang w:eastAsia="de-DE"/>
        </w:rPr>
        <w:t>Inhouse</w:t>
      </w:r>
      <w:proofErr w:type="spellEnd"/>
      <w:r w:rsidR="00B372B7" w:rsidRPr="00E4614C">
        <w:rPr>
          <w:rFonts w:ascii="Calibri" w:eastAsia="Times New Roman" w:hAnsi="Calibri" w:cs="Calibri"/>
          <w:lang w:eastAsia="de-DE"/>
        </w:rPr>
        <w:t xml:space="preserve">-Fähigkeit </w:t>
      </w:r>
      <w:r w:rsidR="000A01DE" w:rsidRPr="00E4614C">
        <w:rPr>
          <w:rFonts w:ascii="Calibri" w:eastAsia="Times New Roman" w:hAnsi="Calibri" w:cs="Calibri"/>
          <w:lang w:eastAsia="de-DE"/>
        </w:rPr>
        <w:t>wurde der bereits bestehende Gesellschaftsvertrag der KIV GmbH</w:t>
      </w:r>
      <w:r w:rsidR="008B0082" w:rsidRPr="00E4614C">
        <w:rPr>
          <w:rFonts w:ascii="Calibri" w:eastAsia="Times New Roman" w:hAnsi="Calibri" w:cs="Calibri"/>
          <w:lang w:eastAsia="de-DE"/>
        </w:rPr>
        <w:t xml:space="preserve"> umfassend geändert und liegt nun zur Unterzeichnung durch die</w:t>
      </w:r>
      <w:r w:rsidR="002417AF">
        <w:rPr>
          <w:rFonts w:ascii="Calibri" w:eastAsia="Times New Roman" w:hAnsi="Calibri" w:cs="Calibri"/>
          <w:lang w:eastAsia="de-DE"/>
        </w:rPr>
        <w:t xml:space="preserve"> Kommunen</w:t>
      </w:r>
      <w:r w:rsidR="008B0082" w:rsidRPr="00E4614C">
        <w:rPr>
          <w:rFonts w:ascii="Calibri" w:eastAsia="Times New Roman" w:hAnsi="Calibri" w:cs="Calibri"/>
          <w:lang w:eastAsia="de-DE"/>
        </w:rPr>
        <w:t xml:space="preserve"> vor. Der Gesellschaftsvertrag ist als </w:t>
      </w:r>
      <w:r w:rsidR="008B0082" w:rsidRPr="00E4614C">
        <w:rPr>
          <w:rFonts w:ascii="Calibri" w:eastAsia="Times New Roman" w:hAnsi="Calibri" w:cs="Calibri"/>
          <w:b/>
          <w:lang w:eastAsia="de-DE"/>
        </w:rPr>
        <w:t xml:space="preserve">Anlage 1 </w:t>
      </w:r>
      <w:r w:rsidR="008B0082" w:rsidRPr="00E4614C">
        <w:rPr>
          <w:rFonts w:ascii="Calibri" w:eastAsia="Times New Roman" w:hAnsi="Calibri" w:cs="Calibri"/>
          <w:lang w:eastAsia="de-DE"/>
        </w:rPr>
        <w:t xml:space="preserve">beigefügt. </w:t>
      </w:r>
      <w:r w:rsidR="001C31D7" w:rsidRPr="00FC2A62">
        <w:rPr>
          <w:rFonts w:ascii="Calibri" w:eastAsia="Times New Roman" w:hAnsi="Calibri" w:cs="Calibri"/>
          <w:lang w:eastAsia="de-DE"/>
        </w:rPr>
        <w:t>Dur</w:t>
      </w:r>
      <w:r w:rsidR="00C24F1F" w:rsidRPr="00FC2A62">
        <w:rPr>
          <w:rFonts w:ascii="Calibri" w:eastAsia="Times New Roman" w:hAnsi="Calibri" w:cs="Calibri"/>
          <w:lang w:eastAsia="de-DE"/>
        </w:rPr>
        <w:t>ch die Zahlung</w:t>
      </w:r>
      <w:r w:rsidR="001C31D7" w:rsidRPr="00FC2A62">
        <w:rPr>
          <w:rFonts w:ascii="Calibri" w:eastAsia="Times New Roman" w:hAnsi="Calibri" w:cs="Calibri"/>
          <w:lang w:eastAsia="de-DE"/>
        </w:rPr>
        <w:t xml:space="preserve"> in Höhe von </w:t>
      </w:r>
      <w:r w:rsidR="00497566">
        <w:rPr>
          <w:rFonts w:ascii="Calibri" w:eastAsia="Times New Roman" w:hAnsi="Calibri" w:cs="Calibri"/>
          <w:lang w:eastAsia="de-DE"/>
        </w:rPr>
        <w:t>85,27</w:t>
      </w:r>
      <w:r w:rsidR="001C31D7" w:rsidRPr="00FC2A62">
        <w:rPr>
          <w:rFonts w:ascii="Calibri" w:eastAsia="Times New Roman" w:hAnsi="Calibri" w:cs="Calibri"/>
          <w:lang w:eastAsia="de-DE"/>
        </w:rPr>
        <w:t xml:space="preserve"> Euro erwirbt die Kommune 1 Geschäftsanteil</w:t>
      </w:r>
      <w:r w:rsidR="00681B61">
        <w:rPr>
          <w:rFonts w:ascii="Calibri" w:eastAsia="Times New Roman" w:hAnsi="Calibri" w:cs="Calibri"/>
          <w:lang w:eastAsia="de-DE"/>
        </w:rPr>
        <w:t xml:space="preserve"> im Nominalwert von 1 Euro</w:t>
      </w:r>
      <w:r w:rsidR="00C24F1F" w:rsidRPr="00FC2A62">
        <w:rPr>
          <w:rFonts w:ascii="Calibri" w:eastAsia="Times New Roman" w:hAnsi="Calibri" w:cs="Calibri"/>
          <w:lang w:eastAsia="de-DE"/>
        </w:rPr>
        <w:t xml:space="preserve">. </w:t>
      </w:r>
      <w:r w:rsidR="00D334F0">
        <w:rPr>
          <w:rFonts w:ascii="Calibri" w:eastAsia="Times New Roman" w:hAnsi="Calibri" w:cs="Calibri"/>
          <w:lang w:eastAsia="de-DE"/>
        </w:rPr>
        <w:t xml:space="preserve">Die finanzielle Leistungsfähigkeit der Gemeinde wird hierdurch nicht geschmälert. </w:t>
      </w:r>
      <w:r w:rsidR="00C24F1F" w:rsidRPr="00FC2A62">
        <w:rPr>
          <w:rFonts w:ascii="Calibri" w:eastAsia="Times New Roman" w:hAnsi="Calibri" w:cs="Calibri"/>
          <w:lang w:eastAsia="de-DE"/>
        </w:rPr>
        <w:t>Ein darüber hinaus gehender Erwerb von Geschäftsanteilen ist nicht möglich</w:t>
      </w:r>
      <w:r w:rsidR="004A4CD7" w:rsidRPr="00FC2A62">
        <w:rPr>
          <w:rFonts w:ascii="Calibri" w:eastAsia="Times New Roman" w:hAnsi="Calibri" w:cs="Calibri"/>
          <w:lang w:eastAsia="de-DE"/>
        </w:rPr>
        <w:t>.</w:t>
      </w:r>
      <w:r w:rsidR="004A4CD7">
        <w:rPr>
          <w:rFonts w:ascii="Calibri" w:eastAsia="Times New Roman" w:hAnsi="Calibri" w:cs="Calibri"/>
          <w:lang w:eastAsia="de-DE"/>
        </w:rPr>
        <w:t xml:space="preserve"> </w:t>
      </w:r>
      <w:r w:rsidR="00D334F0">
        <w:rPr>
          <w:rFonts w:ascii="Calibri" w:eastAsia="Times New Roman" w:hAnsi="Calibri" w:cs="Calibri"/>
          <w:lang w:eastAsia="de-DE"/>
        </w:rPr>
        <w:t xml:space="preserve">Eine Nachschusspflicht und damit eine Verpflichtung zur Übernahme von Verlusten in unbestimmter </w:t>
      </w:r>
      <w:r w:rsidR="00AC4F70" w:rsidRPr="009758AB">
        <w:rPr>
          <w:rFonts w:ascii="Calibri" w:eastAsia="Times New Roman" w:hAnsi="Calibri" w:cs="Calibri"/>
          <w:lang w:eastAsia="de-DE"/>
        </w:rPr>
        <w:t>oder</w:t>
      </w:r>
      <w:r w:rsidR="00D334F0">
        <w:rPr>
          <w:rFonts w:ascii="Calibri" w:eastAsia="Times New Roman" w:hAnsi="Calibri" w:cs="Calibri"/>
          <w:lang w:eastAsia="de-DE"/>
        </w:rPr>
        <w:t xml:space="preserve"> unangemessener Höhe </w:t>
      </w:r>
      <w:r w:rsidR="00681B61">
        <w:rPr>
          <w:rFonts w:ascii="Calibri" w:eastAsia="Times New Roman" w:hAnsi="Calibri" w:cs="Calibri"/>
          <w:lang w:eastAsia="de-DE"/>
        </w:rPr>
        <w:t>sind</w:t>
      </w:r>
      <w:r w:rsidR="00D334F0">
        <w:rPr>
          <w:rFonts w:ascii="Calibri" w:eastAsia="Times New Roman" w:hAnsi="Calibri" w:cs="Calibri"/>
          <w:lang w:eastAsia="de-DE"/>
        </w:rPr>
        <w:t xml:space="preserve"> ausgeschlossen. </w:t>
      </w:r>
      <w:r w:rsidR="00AC4F70">
        <w:rPr>
          <w:rFonts w:ascii="Calibri" w:eastAsia="Times New Roman" w:hAnsi="Calibri" w:cs="Calibri"/>
          <w:lang w:eastAsia="de-DE"/>
        </w:rPr>
        <w:t>Hinzu kommen einmalig Notarkosten für den Erwerb des Anteils in Höhe von ca. 200 Euro.</w:t>
      </w:r>
    </w:p>
    <w:p w14:paraId="26F112CA" w14:textId="77777777" w:rsidR="008B0082" w:rsidRPr="00E4614C" w:rsidRDefault="008B0082" w:rsidP="00FD0762">
      <w:pPr>
        <w:spacing w:after="0" w:line="240" w:lineRule="auto"/>
        <w:jc w:val="both"/>
        <w:rPr>
          <w:rFonts w:ascii="Calibri" w:eastAsia="Times New Roman" w:hAnsi="Calibri" w:cs="Calibri"/>
          <w:lang w:eastAsia="de-DE"/>
        </w:rPr>
      </w:pPr>
    </w:p>
    <w:p w14:paraId="096AA3FB" w14:textId="08319901" w:rsidR="00B372B7" w:rsidRDefault="00B372B7" w:rsidP="00FD0762">
      <w:pPr>
        <w:spacing w:after="0" w:line="240" w:lineRule="auto"/>
        <w:jc w:val="both"/>
        <w:rPr>
          <w:rFonts w:ascii="Calibri" w:eastAsia="Times New Roman" w:hAnsi="Calibri" w:cs="Times New Roman"/>
          <w:lang w:eastAsia="de-DE"/>
        </w:rPr>
      </w:pPr>
      <w:r w:rsidRPr="00E4614C">
        <w:rPr>
          <w:rFonts w:ascii="Calibri" w:eastAsia="Times New Roman" w:hAnsi="Calibri" w:cs="Calibri"/>
          <w:lang w:eastAsia="de-DE"/>
        </w:rPr>
        <w:t xml:space="preserve">Darüber hinaus </w:t>
      </w:r>
      <w:r w:rsidR="008B0082" w:rsidRPr="00E4614C">
        <w:rPr>
          <w:rFonts w:ascii="Calibri" w:eastAsia="Times New Roman" w:hAnsi="Calibri" w:cs="Calibri"/>
          <w:lang w:eastAsia="de-DE"/>
        </w:rPr>
        <w:t xml:space="preserve">wurde, insbesondere zur Herstellung der </w:t>
      </w:r>
      <w:proofErr w:type="spellStart"/>
      <w:r w:rsidR="008B0082" w:rsidRPr="00E4614C">
        <w:rPr>
          <w:rFonts w:ascii="Calibri" w:eastAsia="Times New Roman" w:hAnsi="Calibri" w:cs="Calibri"/>
          <w:lang w:eastAsia="de-DE"/>
        </w:rPr>
        <w:t>Inhouse</w:t>
      </w:r>
      <w:proofErr w:type="spellEnd"/>
      <w:r w:rsidR="008B0082" w:rsidRPr="00E4614C">
        <w:rPr>
          <w:rFonts w:ascii="Calibri" w:eastAsia="Times New Roman" w:hAnsi="Calibri" w:cs="Calibri"/>
          <w:lang w:eastAsia="de-DE"/>
        </w:rPr>
        <w:t>-Fähigkeit des</w:t>
      </w:r>
      <w:r w:rsidR="00681B61">
        <w:rPr>
          <w:rFonts w:ascii="Calibri" w:eastAsia="Times New Roman" w:hAnsi="Calibri" w:cs="Calibri"/>
          <w:lang w:eastAsia="de-DE"/>
        </w:rPr>
        <w:t xml:space="preserve"> k</w:t>
      </w:r>
      <w:r w:rsidR="00A577F2">
        <w:rPr>
          <w:rFonts w:ascii="Calibri" w:eastAsia="Times New Roman" w:hAnsi="Calibri" w:cs="Calibri"/>
          <w:lang w:eastAsia="de-DE"/>
        </w:rPr>
        <w:t>ommunalen IT-</w:t>
      </w:r>
      <w:r w:rsidR="008B0082" w:rsidRPr="00E4614C">
        <w:rPr>
          <w:rFonts w:ascii="Calibri" w:eastAsia="Times New Roman" w:hAnsi="Calibri" w:cs="Calibri"/>
          <w:lang w:eastAsia="de-DE"/>
        </w:rPr>
        <w:t xml:space="preserve">Dienstleisters </w:t>
      </w:r>
      <w:r w:rsidR="00A577F2">
        <w:rPr>
          <w:rFonts w:ascii="Calibri" w:eastAsia="Times New Roman" w:hAnsi="Calibri" w:cs="Calibri"/>
          <w:lang w:eastAsia="de-DE"/>
        </w:rPr>
        <w:t>eine sog. Gesellschafter</w:t>
      </w:r>
      <w:r w:rsidRPr="00E4614C">
        <w:rPr>
          <w:rFonts w:ascii="Calibri" w:eastAsia="Times New Roman" w:hAnsi="Calibri" w:cs="Calibri"/>
          <w:lang w:eastAsia="de-DE"/>
        </w:rPr>
        <w:t xml:space="preserve">vereinbarung </w:t>
      </w:r>
      <w:r w:rsidRPr="00E4614C">
        <w:rPr>
          <w:rFonts w:ascii="Calibri" w:eastAsia="Times New Roman" w:hAnsi="Calibri" w:cs="Calibri"/>
          <w:b/>
          <w:lang w:eastAsia="de-DE"/>
        </w:rPr>
        <w:t>(Anlage 2)</w:t>
      </w:r>
      <w:r w:rsidRPr="00E4614C">
        <w:rPr>
          <w:rFonts w:ascii="Calibri" w:eastAsia="Times New Roman" w:hAnsi="Calibri" w:cs="Calibri"/>
          <w:lang w:eastAsia="de-DE"/>
        </w:rPr>
        <w:t xml:space="preserve"> erstellt</w:t>
      </w:r>
      <w:r w:rsidR="002417AF">
        <w:rPr>
          <w:rFonts w:ascii="Calibri" w:eastAsia="Times New Roman" w:hAnsi="Calibri" w:cs="Calibri"/>
          <w:lang w:eastAsia="de-DE"/>
        </w:rPr>
        <w:t xml:space="preserve">. </w:t>
      </w:r>
      <w:r w:rsidR="007B0828">
        <w:rPr>
          <w:rFonts w:ascii="Calibri" w:eastAsia="Times New Roman" w:hAnsi="Calibri" w:cs="Calibri"/>
          <w:lang w:eastAsia="de-DE"/>
        </w:rPr>
        <w:t>Dabei handelt es sich um</w:t>
      </w:r>
      <w:r w:rsidR="002417AF">
        <w:rPr>
          <w:rFonts w:ascii="Calibri" w:eastAsia="Times New Roman" w:hAnsi="Calibri" w:cs="Calibri"/>
          <w:lang w:eastAsia="de-DE"/>
        </w:rPr>
        <w:t xml:space="preserve"> </w:t>
      </w:r>
      <w:r w:rsidRPr="00E4614C">
        <w:rPr>
          <w:rFonts w:ascii="Calibri" w:eastAsia="Times New Roman" w:hAnsi="Calibri" w:cs="Calibri"/>
          <w:lang w:eastAsia="de-DE"/>
        </w:rPr>
        <w:t>schuldrechtliche Verei</w:t>
      </w:r>
      <w:r w:rsidR="002417AF" w:rsidRPr="002417AF">
        <w:rPr>
          <w:rFonts w:ascii="Calibri" w:eastAsia="Times New Roman" w:hAnsi="Calibri" w:cs="Calibri"/>
          <w:lang w:eastAsia="de-DE"/>
        </w:rPr>
        <w:t>nbarungen zwischen den Parteien</w:t>
      </w:r>
      <w:r w:rsidRPr="00E4614C">
        <w:rPr>
          <w:rFonts w:ascii="Calibri" w:eastAsia="Times New Roman" w:hAnsi="Calibri" w:cs="Calibri"/>
          <w:lang w:eastAsia="de-DE"/>
        </w:rPr>
        <w:t>.</w:t>
      </w:r>
      <w:r w:rsidR="007B0828">
        <w:rPr>
          <w:rFonts w:ascii="Calibri" w:eastAsia="Times New Roman" w:hAnsi="Calibri" w:cs="Calibri"/>
          <w:lang w:eastAsia="de-DE"/>
        </w:rPr>
        <w:t xml:space="preserve"> </w:t>
      </w:r>
      <w:r w:rsidR="007B0828">
        <w:rPr>
          <w:rFonts w:ascii="Calibri" w:eastAsia="Times New Roman" w:hAnsi="Calibri" w:cs="Times New Roman"/>
          <w:lang w:eastAsia="de-DE"/>
        </w:rPr>
        <w:t>Darin können</w:t>
      </w:r>
      <w:r w:rsidRPr="00E4614C">
        <w:rPr>
          <w:rFonts w:ascii="Calibri" w:eastAsia="Times New Roman" w:hAnsi="Calibri" w:cs="Times New Roman"/>
          <w:lang w:eastAsia="de-DE"/>
        </w:rPr>
        <w:t xml:space="preserve"> </w:t>
      </w:r>
      <w:r w:rsidR="007B0828">
        <w:rPr>
          <w:rFonts w:ascii="Calibri" w:eastAsia="Times New Roman" w:hAnsi="Calibri" w:cs="Times New Roman"/>
          <w:lang w:eastAsia="de-DE"/>
        </w:rPr>
        <w:t>nähere Einzelheiten geregelt werden</w:t>
      </w:r>
      <w:r w:rsidRPr="00E4614C">
        <w:rPr>
          <w:rFonts w:ascii="Calibri" w:eastAsia="Times New Roman" w:hAnsi="Calibri" w:cs="Times New Roman"/>
          <w:lang w:eastAsia="de-DE"/>
        </w:rPr>
        <w:t>, bspw. Stimmbindungen und Besetzungen von Gesch</w:t>
      </w:r>
      <w:r w:rsidR="00767E99" w:rsidRPr="00767E99">
        <w:rPr>
          <w:rFonts w:ascii="Calibri" w:eastAsia="Times New Roman" w:hAnsi="Calibri" w:cs="Times New Roman"/>
          <w:lang w:eastAsia="de-DE"/>
        </w:rPr>
        <w:t>äftsführung und Aufsichtsräten.</w:t>
      </w:r>
      <w:r w:rsidR="00D334F0">
        <w:rPr>
          <w:rFonts w:ascii="Calibri" w:eastAsia="Times New Roman" w:hAnsi="Calibri" w:cs="Times New Roman"/>
          <w:lang w:eastAsia="de-DE"/>
        </w:rPr>
        <w:t xml:space="preserve"> Durch die darin vereinbarte Bildung von Gesellschaftergruppen wird insbesondere auch der Einfluss der Gemeinden im Aufsichtsrat gestaltet. So wird hier ein Einfluss ermög</w:t>
      </w:r>
      <w:r w:rsidR="00A50CD2">
        <w:rPr>
          <w:rFonts w:ascii="Calibri" w:eastAsia="Times New Roman" w:hAnsi="Calibri" w:cs="Times New Roman"/>
          <w:lang w:eastAsia="de-DE"/>
        </w:rPr>
        <w:t>l</w:t>
      </w:r>
      <w:r w:rsidR="00D334F0">
        <w:rPr>
          <w:rFonts w:ascii="Calibri" w:eastAsia="Times New Roman" w:hAnsi="Calibri" w:cs="Times New Roman"/>
          <w:lang w:eastAsia="de-DE"/>
        </w:rPr>
        <w:t xml:space="preserve">icht, der über den geringen Umfang der Beteiligung sogar hinausreicht. </w:t>
      </w:r>
    </w:p>
    <w:p w14:paraId="5B218A6E" w14:textId="77777777" w:rsidR="00767E99" w:rsidRDefault="00767E99" w:rsidP="00FD0762">
      <w:pPr>
        <w:spacing w:after="0" w:line="240" w:lineRule="auto"/>
        <w:jc w:val="both"/>
        <w:rPr>
          <w:rFonts w:ascii="Calibri" w:eastAsia="Times New Roman" w:hAnsi="Calibri" w:cs="Times New Roman"/>
          <w:lang w:eastAsia="de-DE"/>
        </w:rPr>
      </w:pPr>
    </w:p>
    <w:p w14:paraId="30C88B48" w14:textId="77777777" w:rsidR="000D6193" w:rsidRPr="00BD2C8F" w:rsidRDefault="004A4CD7" w:rsidP="00FD0762">
      <w:pPr>
        <w:pStyle w:val="Listenabsatz"/>
        <w:numPr>
          <w:ilvl w:val="0"/>
          <w:numId w:val="3"/>
        </w:numPr>
        <w:spacing w:after="0" w:line="240" w:lineRule="auto"/>
        <w:jc w:val="both"/>
        <w:rPr>
          <w:i/>
          <w:u w:val="single"/>
        </w:rPr>
      </w:pPr>
      <w:r w:rsidRPr="00BD2C8F">
        <w:rPr>
          <w:i/>
          <w:u w:val="single"/>
        </w:rPr>
        <w:t>Rechtsformenvergleich</w:t>
      </w:r>
    </w:p>
    <w:p w14:paraId="18942386" w14:textId="77777777" w:rsidR="004A4CD7" w:rsidRPr="00E4614C" w:rsidRDefault="004A4CD7" w:rsidP="004A4CD7">
      <w:pPr>
        <w:pStyle w:val="Listenabsatz"/>
        <w:spacing w:after="0" w:line="240" w:lineRule="auto"/>
        <w:jc w:val="both"/>
        <w:rPr>
          <w:b/>
          <w:u w:val="single"/>
        </w:rPr>
      </w:pPr>
    </w:p>
    <w:p w14:paraId="06238168" w14:textId="77777777" w:rsidR="00B372B7" w:rsidRDefault="00145C38" w:rsidP="00FD0762">
      <w:pPr>
        <w:spacing w:after="0" w:line="240" w:lineRule="auto"/>
        <w:jc w:val="both"/>
        <w:rPr>
          <w:rFonts w:cstheme="minorHAnsi"/>
        </w:rPr>
      </w:pPr>
      <w:r w:rsidRPr="00E4614C">
        <w:rPr>
          <w:rFonts w:cstheme="minorHAnsi"/>
        </w:rPr>
        <w:t xml:space="preserve">Die GmbH als Kapitalgesellschaft empfiehlt sich demnach im Vergleich der </w:t>
      </w:r>
      <w:r w:rsidRPr="00E4614C">
        <w:rPr>
          <w:rStyle w:val="highlight"/>
          <w:rFonts w:cstheme="minorHAnsi"/>
        </w:rPr>
        <w:t>Rechtsform</w:t>
      </w:r>
      <w:r w:rsidRPr="00E4614C">
        <w:rPr>
          <w:rFonts w:cstheme="minorHAnsi"/>
        </w:rPr>
        <w:t xml:space="preserve">en des privaten Rechts insbesondere hinsichtlich der Einflussmöglichkeiten und Haftungsbeschränkungen der </w:t>
      </w:r>
      <w:r>
        <w:rPr>
          <w:rFonts w:cstheme="minorHAnsi"/>
        </w:rPr>
        <w:t>Kommunen</w:t>
      </w:r>
      <w:r w:rsidRPr="00E4614C">
        <w:rPr>
          <w:rFonts w:cstheme="minorHAnsi"/>
        </w:rPr>
        <w:t xml:space="preserve">, der Flexibilität in der Gestaltung und Finanzierung sowie der Erfüllung der weiteren kommunalrechtlichen Vorgaben der unternehmerischen Betätigung nach § </w:t>
      </w:r>
      <w:r>
        <w:rPr>
          <w:rFonts w:cstheme="minorHAnsi"/>
        </w:rPr>
        <w:t>71</w:t>
      </w:r>
      <w:r w:rsidRPr="00E4614C">
        <w:rPr>
          <w:rFonts w:cstheme="minorHAnsi"/>
        </w:rPr>
        <w:t xml:space="preserve"> ff. </w:t>
      </w:r>
      <w:proofErr w:type="spellStart"/>
      <w:r>
        <w:rPr>
          <w:rFonts w:cstheme="minorHAnsi"/>
        </w:rPr>
        <w:t>ThürKO</w:t>
      </w:r>
      <w:proofErr w:type="spellEnd"/>
      <w:r w:rsidRPr="00E4614C">
        <w:rPr>
          <w:rFonts w:cstheme="minorHAnsi"/>
        </w:rPr>
        <w:t>.</w:t>
      </w:r>
    </w:p>
    <w:p w14:paraId="1B282F53" w14:textId="77777777" w:rsidR="004A4CD7" w:rsidRPr="00E4614C" w:rsidRDefault="004A4CD7" w:rsidP="00FD0762">
      <w:pPr>
        <w:spacing w:after="0" w:line="240" w:lineRule="auto"/>
        <w:jc w:val="both"/>
        <w:rPr>
          <w:rFonts w:cstheme="minorHAnsi"/>
        </w:rPr>
      </w:pPr>
    </w:p>
    <w:p w14:paraId="6FAC53FF" w14:textId="77777777" w:rsidR="00CD44A2" w:rsidRDefault="00CD44A2">
      <w:pPr>
        <w:rPr>
          <w:rFonts w:cstheme="minorHAnsi"/>
          <w:i/>
          <w:u w:val="single"/>
        </w:rPr>
      </w:pPr>
      <w:r>
        <w:rPr>
          <w:rFonts w:cstheme="minorHAnsi"/>
          <w:i/>
          <w:u w:val="single"/>
        </w:rPr>
        <w:br w:type="page"/>
      </w:r>
    </w:p>
    <w:p w14:paraId="411F5D77" w14:textId="77777777" w:rsidR="00F76B31" w:rsidRPr="00BD2C8F" w:rsidRDefault="002417AF" w:rsidP="00FD0762">
      <w:pPr>
        <w:pStyle w:val="Listenabsatz"/>
        <w:numPr>
          <w:ilvl w:val="0"/>
          <w:numId w:val="3"/>
        </w:numPr>
        <w:spacing w:after="0" w:line="240" w:lineRule="auto"/>
        <w:jc w:val="both"/>
        <w:rPr>
          <w:rFonts w:cstheme="minorHAnsi"/>
          <w:i/>
          <w:u w:val="single"/>
        </w:rPr>
      </w:pPr>
      <w:r w:rsidRPr="00BD2C8F">
        <w:rPr>
          <w:rFonts w:cstheme="minorHAnsi"/>
          <w:i/>
          <w:u w:val="single"/>
        </w:rPr>
        <w:lastRenderedPageBreak/>
        <w:t>Geschäftstätigkeit des kommunalen IT-Dienstleisters</w:t>
      </w:r>
    </w:p>
    <w:p w14:paraId="6B51736C" w14:textId="77777777" w:rsidR="004A4CD7" w:rsidRPr="00E4614C" w:rsidRDefault="004A4CD7" w:rsidP="004A4CD7">
      <w:pPr>
        <w:pStyle w:val="Listenabsatz"/>
        <w:spacing w:after="0" w:line="240" w:lineRule="auto"/>
        <w:jc w:val="both"/>
        <w:rPr>
          <w:rFonts w:cstheme="minorHAnsi"/>
          <w:b/>
          <w:u w:val="single"/>
        </w:rPr>
      </w:pPr>
    </w:p>
    <w:p w14:paraId="2EC5E43B" w14:textId="77777777" w:rsidR="00516C69" w:rsidRDefault="00516C69" w:rsidP="00FD0762">
      <w:pPr>
        <w:spacing w:after="0" w:line="240" w:lineRule="auto"/>
        <w:jc w:val="both"/>
      </w:pPr>
      <w:r>
        <w:t xml:space="preserve">Folgende Dienste, Dienstleistungen und Fachanwendungen stellt der kommunale </w:t>
      </w:r>
      <w:r w:rsidR="00D13D54">
        <w:t>IT</w:t>
      </w:r>
      <w:r w:rsidR="002417AF">
        <w:t>-</w:t>
      </w:r>
      <w:r>
        <w:t xml:space="preserve">Dienstleister zur Verfügung, welche die Gesellschafter in freier Entscheidung ganz oder teilweise nutzen können: </w:t>
      </w:r>
    </w:p>
    <w:p w14:paraId="78D177C8" w14:textId="77777777" w:rsidR="00516C69" w:rsidRDefault="00516C69" w:rsidP="00FD0762">
      <w:pPr>
        <w:pStyle w:val="Listenabsatz"/>
        <w:numPr>
          <w:ilvl w:val="0"/>
          <w:numId w:val="1"/>
        </w:numPr>
        <w:spacing w:after="0" w:line="240" w:lineRule="auto"/>
        <w:jc w:val="both"/>
      </w:pPr>
      <w:r>
        <w:t>Strategieentwicklung Beratung &amp; Training</w:t>
      </w:r>
      <w:r w:rsidR="00EF5B67">
        <w:t xml:space="preserve"> (z.B. für die Einführung einer Digitalen Agenda)</w:t>
      </w:r>
    </w:p>
    <w:p w14:paraId="16ED3762" w14:textId="77777777" w:rsidR="00D13D54" w:rsidRDefault="00D13D54" w:rsidP="00FD0762">
      <w:pPr>
        <w:pStyle w:val="Listenabsatz"/>
        <w:numPr>
          <w:ilvl w:val="0"/>
          <w:numId w:val="1"/>
        </w:numPr>
        <w:spacing w:after="0" w:line="240" w:lineRule="auto"/>
        <w:jc w:val="both"/>
      </w:pPr>
      <w:r>
        <w:t>Beratung, Entwicklung sowie Umsetzung von Digitalisierungsvorhaben und OZG</w:t>
      </w:r>
    </w:p>
    <w:p w14:paraId="25726A84" w14:textId="77777777" w:rsidR="00516C69" w:rsidRDefault="00516C69" w:rsidP="00FD0762">
      <w:pPr>
        <w:pStyle w:val="Listenabsatz"/>
        <w:numPr>
          <w:ilvl w:val="0"/>
          <w:numId w:val="1"/>
        </w:numPr>
        <w:spacing w:after="0" w:line="240" w:lineRule="auto"/>
        <w:jc w:val="both"/>
      </w:pPr>
      <w:r>
        <w:t>IT-Sicherheit</w:t>
      </w:r>
      <w:r w:rsidR="00EF5B67">
        <w:t xml:space="preserve"> (z.B. Einführung eines ISMS)</w:t>
      </w:r>
    </w:p>
    <w:p w14:paraId="316D2178" w14:textId="77777777" w:rsidR="00516C69" w:rsidRDefault="00516C69" w:rsidP="00FD0762">
      <w:pPr>
        <w:pStyle w:val="Listenabsatz"/>
        <w:numPr>
          <w:ilvl w:val="0"/>
          <w:numId w:val="1"/>
        </w:numPr>
        <w:spacing w:after="0" w:line="240" w:lineRule="auto"/>
        <w:jc w:val="both"/>
      </w:pPr>
      <w:r>
        <w:t>Ausschreibung und Beschaffungsmanagement</w:t>
      </w:r>
      <w:r w:rsidR="00D13D54">
        <w:t xml:space="preserve"> (z.B. Software, Hardware, Dienstleistungen…)</w:t>
      </w:r>
    </w:p>
    <w:p w14:paraId="42A9D86D" w14:textId="77777777" w:rsidR="00516C69" w:rsidRDefault="00516C69" w:rsidP="00FD0762">
      <w:pPr>
        <w:pStyle w:val="Listenabsatz"/>
        <w:numPr>
          <w:ilvl w:val="0"/>
          <w:numId w:val="1"/>
        </w:numPr>
        <w:spacing w:after="0" w:line="240" w:lineRule="auto"/>
        <w:jc w:val="both"/>
      </w:pPr>
      <w:r>
        <w:t>Kommunale Cloud Dienste (Rechenzentrum)</w:t>
      </w:r>
    </w:p>
    <w:p w14:paraId="08E0B3A7" w14:textId="77777777" w:rsidR="00516C69" w:rsidRDefault="00516C69" w:rsidP="00FD0762">
      <w:pPr>
        <w:pStyle w:val="Listenabsatz"/>
        <w:numPr>
          <w:ilvl w:val="0"/>
          <w:numId w:val="1"/>
        </w:numPr>
        <w:spacing w:after="0" w:line="240" w:lineRule="auto"/>
        <w:jc w:val="both"/>
      </w:pPr>
      <w:r>
        <w:t>S</w:t>
      </w:r>
      <w:r w:rsidR="00EF5B67">
        <w:t>oftware als Service, Plattform a</w:t>
      </w:r>
      <w:r>
        <w:t>ls Service in der Kommunal-Cloud</w:t>
      </w:r>
    </w:p>
    <w:p w14:paraId="2F58D048" w14:textId="77777777" w:rsidR="002D7EE8" w:rsidRDefault="002D7EE8" w:rsidP="00FD0762">
      <w:pPr>
        <w:pStyle w:val="Listenabsatz"/>
        <w:numPr>
          <w:ilvl w:val="0"/>
          <w:numId w:val="1"/>
        </w:numPr>
        <w:spacing w:after="0" w:line="240" w:lineRule="auto"/>
        <w:jc w:val="both"/>
      </w:pPr>
      <w:r>
        <w:t>Infrastruktur als a Service z.B. Bereitstellung von Servern, Langzeitspeichert etc. mit zentraler Administration und Datensicherung</w:t>
      </w:r>
    </w:p>
    <w:p w14:paraId="7D3B1FFC" w14:textId="77777777" w:rsidR="00516C69" w:rsidRDefault="00516C69" w:rsidP="00FD0762">
      <w:pPr>
        <w:pStyle w:val="Listenabsatz"/>
        <w:numPr>
          <w:ilvl w:val="0"/>
          <w:numId w:val="1"/>
        </w:numPr>
        <w:spacing w:after="0" w:line="240" w:lineRule="auto"/>
        <w:jc w:val="both"/>
      </w:pPr>
      <w:r>
        <w:t>Kommunaler Austausch und Weiterbildung</w:t>
      </w:r>
    </w:p>
    <w:p w14:paraId="604711D6" w14:textId="77777777" w:rsidR="00516C69" w:rsidRDefault="00516C69" w:rsidP="00FD0762">
      <w:pPr>
        <w:pStyle w:val="Listenabsatz"/>
        <w:numPr>
          <w:ilvl w:val="0"/>
          <w:numId w:val="1"/>
        </w:numPr>
        <w:spacing w:after="0" w:line="240" w:lineRule="auto"/>
        <w:jc w:val="both"/>
      </w:pPr>
      <w:r>
        <w:t>Kommunal-Software direkt vor Ort (Auswahl) – dezentrale Administration</w:t>
      </w:r>
      <w:r w:rsidR="002D7EE8">
        <w:t xml:space="preserve"> von ausgewählten IT-Infrastrukturen</w:t>
      </w:r>
    </w:p>
    <w:p w14:paraId="2184325C" w14:textId="77777777" w:rsidR="00516C69" w:rsidRDefault="00516C69" w:rsidP="00FD0762">
      <w:pPr>
        <w:pStyle w:val="Listenabsatz"/>
        <w:numPr>
          <w:ilvl w:val="0"/>
          <w:numId w:val="1"/>
        </w:numPr>
        <w:spacing w:after="0" w:line="240" w:lineRule="auto"/>
        <w:jc w:val="both"/>
      </w:pPr>
      <w:r>
        <w:t>Eigene Softwareentwicklung</w:t>
      </w:r>
      <w:r w:rsidR="002D7EE8">
        <w:t xml:space="preserve"> (Schnittstellen, Fachverfahren)</w:t>
      </w:r>
    </w:p>
    <w:p w14:paraId="678CB150" w14:textId="77777777" w:rsidR="002D7EE8" w:rsidRDefault="002D7EE8" w:rsidP="00FD0762">
      <w:pPr>
        <w:pStyle w:val="Listenabsatz"/>
        <w:numPr>
          <w:ilvl w:val="0"/>
          <w:numId w:val="1"/>
        </w:numPr>
        <w:spacing w:after="0" w:line="240" w:lineRule="auto"/>
        <w:jc w:val="both"/>
      </w:pPr>
      <w:r>
        <w:t xml:space="preserve">Beratung und Support </w:t>
      </w:r>
      <w:r w:rsidR="00B33268">
        <w:t xml:space="preserve">von </w:t>
      </w:r>
      <w:r w:rsidR="00382688">
        <w:t>ausgewählten IT-Fachanwendungen</w:t>
      </w:r>
    </w:p>
    <w:p w14:paraId="1B7B2541" w14:textId="77777777" w:rsidR="00516C69" w:rsidRDefault="00516C69" w:rsidP="00FD0762">
      <w:pPr>
        <w:pStyle w:val="Listenabsatz"/>
        <w:numPr>
          <w:ilvl w:val="0"/>
          <w:numId w:val="1"/>
        </w:numPr>
        <w:spacing w:after="0" w:line="240" w:lineRule="auto"/>
        <w:jc w:val="both"/>
      </w:pPr>
      <w:r>
        <w:t>Technik und Netze</w:t>
      </w:r>
    </w:p>
    <w:p w14:paraId="5E50E443" w14:textId="77777777" w:rsidR="00EF5B67" w:rsidRDefault="00EF5B67" w:rsidP="00FD0762">
      <w:pPr>
        <w:pStyle w:val="Listenabsatz"/>
        <w:numPr>
          <w:ilvl w:val="0"/>
          <w:numId w:val="1"/>
        </w:numPr>
        <w:spacing w:after="0" w:line="240" w:lineRule="auto"/>
        <w:jc w:val="both"/>
      </w:pPr>
      <w:r>
        <w:t>Unterstützung förderfähiger E-</w:t>
      </w:r>
      <w:proofErr w:type="spellStart"/>
      <w:r>
        <w:t>Gov</w:t>
      </w:r>
      <w:r w:rsidR="00CF3E13">
        <w:t>er</w:t>
      </w:r>
      <w:r>
        <w:t>nment</w:t>
      </w:r>
      <w:proofErr w:type="spellEnd"/>
      <w:r>
        <w:t>-Vorhaben und deren Umsetzung auf Basis vorhandener oder einzuführender Softwarelösungen in der Gesellschaft (z.B.  Kommunalgateway, E-Rechnung, IT-Sicherheit, Workflowmanagement)</w:t>
      </w:r>
      <w:r w:rsidR="005B2C43">
        <w:t>.</w:t>
      </w:r>
    </w:p>
    <w:p w14:paraId="6051BA46" w14:textId="77777777" w:rsidR="005B2C43" w:rsidRDefault="005B2C43" w:rsidP="005B2C43">
      <w:pPr>
        <w:pStyle w:val="Listenabsatz"/>
        <w:spacing w:after="0" w:line="240" w:lineRule="auto"/>
        <w:jc w:val="both"/>
      </w:pPr>
    </w:p>
    <w:p w14:paraId="3A640AC3" w14:textId="77777777" w:rsidR="00516C69" w:rsidRDefault="00F13DD0" w:rsidP="00FD0762">
      <w:pPr>
        <w:spacing w:after="0" w:line="240" w:lineRule="auto"/>
        <w:jc w:val="both"/>
      </w:pPr>
      <w:r>
        <w:t>Mit Etablierung</w:t>
      </w:r>
      <w:r w:rsidR="00E14086">
        <w:t xml:space="preserve"> </w:t>
      </w:r>
      <w:r w:rsidR="00A7768C">
        <w:t>des kommunalen</w:t>
      </w:r>
      <w:r w:rsidR="00516C69">
        <w:t xml:space="preserve"> IT-Dienstleister</w:t>
      </w:r>
      <w:r w:rsidR="007B0828">
        <w:t>s</w:t>
      </w:r>
      <w:r w:rsidR="00E14086">
        <w:t xml:space="preserve"> wird</w:t>
      </w:r>
      <w:r w:rsidR="00516C69">
        <w:t xml:space="preserve"> </w:t>
      </w:r>
      <w:r w:rsidR="00A7768C">
        <w:t xml:space="preserve">zudem </w:t>
      </w:r>
      <w:r w:rsidR="00516C69">
        <w:t>eine Forderung des</w:t>
      </w:r>
      <w:r w:rsidR="00516C69" w:rsidRPr="00516C69">
        <w:t xml:space="preserve"> Thüringer Rechnungshof</w:t>
      </w:r>
      <w:r w:rsidR="00516C69">
        <w:t>s</w:t>
      </w:r>
      <w:r w:rsidR="00E14086">
        <w:t xml:space="preserve"> - </w:t>
      </w:r>
      <w:r w:rsidR="00516C69">
        <w:t xml:space="preserve">Bereich </w:t>
      </w:r>
      <w:r w:rsidR="00516C69" w:rsidRPr="00516C69">
        <w:t>Kommunalprüfung,</w:t>
      </w:r>
      <w:r w:rsidR="00516C69">
        <w:t xml:space="preserve"> um</w:t>
      </w:r>
      <w:r w:rsidR="00E14086">
        <w:t>gesetzt</w:t>
      </w:r>
      <w:r w:rsidR="00A7768C">
        <w:t xml:space="preserve">. Dieser hatte </w:t>
      </w:r>
      <w:r w:rsidR="00516C69" w:rsidRPr="00516C69">
        <w:t>gefordert, dass ein gemeinsamer zentraler IT-Dienstleister</w:t>
      </w:r>
      <w:r w:rsidR="00E14086">
        <w:t xml:space="preserve"> </w:t>
      </w:r>
      <w:r w:rsidR="00E14086" w:rsidRPr="00516C69">
        <w:t xml:space="preserve">in Thüringen </w:t>
      </w:r>
      <w:r w:rsidR="00516C69" w:rsidRPr="00516C69">
        <w:t xml:space="preserve">etabliert wird, </w:t>
      </w:r>
      <w:r w:rsidR="00E14086">
        <w:t xml:space="preserve">welcher </w:t>
      </w:r>
      <w:r w:rsidR="00516C69" w:rsidRPr="00516C69">
        <w:t xml:space="preserve">die </w:t>
      </w:r>
      <w:r>
        <w:t>Kommunalen IT</w:t>
      </w:r>
      <w:r w:rsidR="00516C69" w:rsidRPr="00516C69">
        <w:t>-Aufgaben</w:t>
      </w:r>
      <w:r w:rsidR="00E14086">
        <w:t xml:space="preserve"> landeseinheitlich</w:t>
      </w:r>
      <w:r w:rsidR="00516C69" w:rsidRPr="00516C69">
        <w:t xml:space="preserve"> mit gleichen Maßstäben erfüll</w:t>
      </w:r>
      <w:r w:rsidR="00E14086">
        <w:t>t</w:t>
      </w:r>
      <w:r w:rsidR="00516C69" w:rsidRPr="00516C69">
        <w:t xml:space="preserve">. </w:t>
      </w:r>
    </w:p>
    <w:p w14:paraId="2AFDB3EE" w14:textId="77777777" w:rsidR="00F13DD0" w:rsidRDefault="00F13DD0" w:rsidP="00FD0762">
      <w:pPr>
        <w:spacing w:after="0" w:line="240" w:lineRule="auto"/>
        <w:jc w:val="both"/>
      </w:pPr>
    </w:p>
    <w:p w14:paraId="61EC8A2D" w14:textId="77777777" w:rsidR="00432532" w:rsidRPr="00BD2C8F" w:rsidRDefault="002417AF" w:rsidP="00FD0762">
      <w:pPr>
        <w:pStyle w:val="Listenabsatz"/>
        <w:numPr>
          <w:ilvl w:val="0"/>
          <w:numId w:val="3"/>
        </w:numPr>
        <w:spacing w:after="0" w:line="240" w:lineRule="auto"/>
        <w:jc w:val="both"/>
        <w:rPr>
          <w:i/>
          <w:u w:val="single"/>
        </w:rPr>
      </w:pPr>
      <w:r w:rsidRPr="00BD2C8F">
        <w:rPr>
          <w:i/>
          <w:u w:val="single"/>
        </w:rPr>
        <w:t>Vorteile durch die Gesellschafterstellung beim kommunalen IT-Dienstleister</w:t>
      </w:r>
    </w:p>
    <w:p w14:paraId="4A7DBC96" w14:textId="77777777" w:rsidR="005B2C43" w:rsidRPr="00E4614C" w:rsidRDefault="005B2C43" w:rsidP="005B2C43">
      <w:pPr>
        <w:pStyle w:val="Listenabsatz"/>
        <w:spacing w:after="0" w:line="240" w:lineRule="auto"/>
        <w:jc w:val="both"/>
        <w:rPr>
          <w:b/>
        </w:rPr>
      </w:pPr>
    </w:p>
    <w:p w14:paraId="54B890F8" w14:textId="77777777" w:rsidR="002417AF" w:rsidRDefault="002417AF" w:rsidP="00FD0762">
      <w:pPr>
        <w:spacing w:after="0" w:line="240" w:lineRule="auto"/>
        <w:jc w:val="both"/>
      </w:pPr>
      <w:r>
        <w:t xml:space="preserve">Zusammenfassend ergeben sich durch die Gesellschafterstellung </w:t>
      </w:r>
      <w:r w:rsidR="005B2C43">
        <w:t>der Gemeinde […]/</w:t>
      </w:r>
      <w:r>
        <w:t xml:space="preserve">Stadt </w:t>
      </w:r>
      <w:r w:rsidR="005B2C43">
        <w:t>[…]/</w:t>
      </w:r>
      <w:r>
        <w:t xml:space="preserve">Verwaltungsgemeinschaft […] bei der Kommunalen Informationsverarbeitung Thüringen GmbH nachstehende Vorteile: </w:t>
      </w:r>
    </w:p>
    <w:p w14:paraId="479E6910" w14:textId="77777777" w:rsidR="002417AF" w:rsidRDefault="002417AF" w:rsidP="00FD0762">
      <w:pPr>
        <w:pStyle w:val="Listenabsatz"/>
        <w:numPr>
          <w:ilvl w:val="0"/>
          <w:numId w:val="3"/>
        </w:numPr>
        <w:spacing w:after="0" w:line="240" w:lineRule="auto"/>
        <w:jc w:val="both"/>
      </w:pPr>
      <w:r>
        <w:t>Wegfall der Bindung von Ressourcen für die Erarbeitung von umfassenden Leistungsbeschreibungen, insbesondere dann, wenn die Durchführung von europaweiten Ausschreibungen entbehrlich ist</w:t>
      </w:r>
    </w:p>
    <w:p w14:paraId="23316507" w14:textId="77777777" w:rsidR="002417AF" w:rsidRDefault="002417AF" w:rsidP="00FD0762">
      <w:pPr>
        <w:pStyle w:val="Listenabsatz"/>
        <w:numPr>
          <w:ilvl w:val="0"/>
          <w:numId w:val="3"/>
        </w:numPr>
        <w:spacing w:after="0" w:line="240" w:lineRule="auto"/>
        <w:jc w:val="both"/>
      </w:pPr>
      <w:r>
        <w:t>Zeitgewinn durch wegfallende Leistungsverzeichnis-Erarbeitungen und Vergabeverfahren</w:t>
      </w:r>
    </w:p>
    <w:p w14:paraId="38FD8BB2" w14:textId="77777777" w:rsidR="002417AF" w:rsidRDefault="002417AF" w:rsidP="00FD0762">
      <w:pPr>
        <w:pStyle w:val="Listenabsatz"/>
        <w:numPr>
          <w:ilvl w:val="0"/>
          <w:numId w:val="3"/>
        </w:numPr>
        <w:spacing w:after="0" w:line="240" w:lineRule="auto"/>
        <w:jc w:val="both"/>
      </w:pPr>
      <w:r>
        <w:t>Zeitgewinn wird sich positiv auf die Umsetzung der E-</w:t>
      </w:r>
      <w:proofErr w:type="spellStart"/>
      <w:r>
        <w:t>Government</w:t>
      </w:r>
      <w:proofErr w:type="spellEnd"/>
      <w:r>
        <w:t xml:space="preserve">-Maßnahmen auswirken </w:t>
      </w:r>
    </w:p>
    <w:p w14:paraId="71E4F072" w14:textId="77777777" w:rsidR="002417AF" w:rsidRDefault="002417AF" w:rsidP="00FD0762">
      <w:pPr>
        <w:pStyle w:val="Listenabsatz"/>
        <w:numPr>
          <w:ilvl w:val="0"/>
          <w:numId w:val="3"/>
        </w:numPr>
        <w:spacing w:after="0" w:line="240" w:lineRule="auto"/>
        <w:jc w:val="both"/>
      </w:pPr>
      <w:r>
        <w:t>Fördermittelfähige Vorhaben lassen sich zielgerichtet und zügig umsetzen</w:t>
      </w:r>
    </w:p>
    <w:p w14:paraId="76E93BDF" w14:textId="77777777" w:rsidR="00510CCE" w:rsidRDefault="00510CCE" w:rsidP="00FD0762">
      <w:pPr>
        <w:pStyle w:val="Listenabsatz"/>
        <w:numPr>
          <w:ilvl w:val="0"/>
          <w:numId w:val="3"/>
        </w:numPr>
        <w:spacing w:after="0" w:line="240" w:lineRule="auto"/>
        <w:jc w:val="both"/>
      </w:pPr>
      <w:r>
        <w:t>Ausreichung von E-</w:t>
      </w:r>
      <w:proofErr w:type="spellStart"/>
      <w:r>
        <w:t>Government</w:t>
      </w:r>
      <w:proofErr w:type="spellEnd"/>
      <w:r>
        <w:t xml:space="preserve"> Fördermitteln wird erleichtert </w:t>
      </w:r>
    </w:p>
    <w:p w14:paraId="6CAAE0F5" w14:textId="77777777" w:rsidR="00510CCE" w:rsidRDefault="00510CCE" w:rsidP="00FD0762">
      <w:pPr>
        <w:pStyle w:val="Listenabsatz"/>
        <w:numPr>
          <w:ilvl w:val="0"/>
          <w:numId w:val="3"/>
        </w:numPr>
        <w:spacing w:after="0" w:line="240" w:lineRule="auto"/>
        <w:jc w:val="both"/>
      </w:pPr>
      <w:r>
        <w:t xml:space="preserve">aufgrund möglicher </w:t>
      </w:r>
      <w:proofErr w:type="spellStart"/>
      <w:r>
        <w:t>Inhousevergabe</w:t>
      </w:r>
      <w:proofErr w:type="spellEnd"/>
      <w:r>
        <w:t xml:space="preserve"> ist die Beschaffung von IT-Pr</w:t>
      </w:r>
      <w:r w:rsidR="005B2C43">
        <w:t>o</w:t>
      </w:r>
      <w:r>
        <w:t>dukten und Dienstleistungen aus dem Portfolio der KIV für die Kommune ausschreibungsfrei und zügig möglich</w:t>
      </w:r>
    </w:p>
    <w:p w14:paraId="7284F616" w14:textId="77777777" w:rsidR="00A7768C" w:rsidRDefault="00A7768C" w:rsidP="00FD0762">
      <w:pPr>
        <w:pStyle w:val="Listenabsatz"/>
        <w:numPr>
          <w:ilvl w:val="0"/>
          <w:numId w:val="3"/>
        </w:numPr>
        <w:spacing w:after="0" w:line="240" w:lineRule="auto"/>
        <w:jc w:val="both"/>
      </w:pPr>
      <w:r>
        <w:t>Realisierung der nach den gesetzlichen Regelungen geforderten elektronischen Verwaltungsleistungen wird erleich</w:t>
      </w:r>
      <w:r w:rsidR="005B2C43">
        <w:t>t</w:t>
      </w:r>
      <w:r>
        <w:t>ert</w:t>
      </w:r>
    </w:p>
    <w:p w14:paraId="71E19729" w14:textId="77777777" w:rsidR="00A7768C" w:rsidRDefault="00A7768C" w:rsidP="00FD0762">
      <w:pPr>
        <w:pStyle w:val="Listenabsatz"/>
        <w:numPr>
          <w:ilvl w:val="0"/>
          <w:numId w:val="3"/>
        </w:numPr>
        <w:spacing w:after="0" w:line="240" w:lineRule="auto"/>
        <w:jc w:val="both"/>
      </w:pPr>
      <w:r>
        <w:t xml:space="preserve">Verbesserung der Wirtschaftlichkeit des IT-Betriebs und des IT-Service </w:t>
      </w:r>
    </w:p>
    <w:p w14:paraId="7670F2C2" w14:textId="77777777" w:rsidR="00A7768C" w:rsidRDefault="00A7768C" w:rsidP="00FD0762">
      <w:pPr>
        <w:spacing w:after="0" w:line="240" w:lineRule="auto"/>
        <w:jc w:val="both"/>
      </w:pPr>
    </w:p>
    <w:p w14:paraId="661DE7D9" w14:textId="77777777" w:rsidR="00A7768C" w:rsidRPr="00681B61" w:rsidRDefault="00681B61" w:rsidP="00FD0762">
      <w:pPr>
        <w:spacing w:after="0" w:line="240" w:lineRule="auto"/>
        <w:jc w:val="both"/>
        <w:rPr>
          <w:b/>
          <w:i/>
          <w:u w:val="single"/>
        </w:rPr>
      </w:pPr>
      <w:r>
        <w:rPr>
          <w:b/>
          <w:i/>
          <w:u w:val="single"/>
        </w:rPr>
        <w:t>Weitere Schritte</w:t>
      </w:r>
    </w:p>
    <w:p w14:paraId="245454EA" w14:textId="77777777" w:rsidR="005B2C43" w:rsidRPr="00E4614C" w:rsidRDefault="005B2C43" w:rsidP="00FD0762">
      <w:pPr>
        <w:spacing w:after="0" w:line="240" w:lineRule="auto"/>
        <w:jc w:val="both"/>
        <w:rPr>
          <w:b/>
          <w:u w:val="single"/>
        </w:rPr>
      </w:pPr>
    </w:p>
    <w:p w14:paraId="524A49C2" w14:textId="77777777" w:rsidR="00A7768C" w:rsidRDefault="00D334F0" w:rsidP="00FD0762">
      <w:pPr>
        <w:spacing w:after="0" w:line="240" w:lineRule="auto"/>
        <w:jc w:val="both"/>
      </w:pPr>
      <w:r>
        <w:t xml:space="preserve">Nach der Beurkundung des notariellen Vertrages zum Erwerb des Geschäftsanteils muss dieser als Grundlage der </w:t>
      </w:r>
      <w:r w:rsidR="000D1B2A">
        <w:t xml:space="preserve">Beteiligung der Kommune an der GmbH durch </w:t>
      </w:r>
      <w:r>
        <w:t xml:space="preserve">das Landratsamt als </w:t>
      </w:r>
      <w:r w:rsidR="000D1B2A">
        <w:t xml:space="preserve"> Rechtsaufsichtsbehörde (bei kreisfreien Städten </w:t>
      </w:r>
      <w:r>
        <w:t xml:space="preserve">das </w:t>
      </w:r>
      <w:r w:rsidR="000D1B2A">
        <w:t xml:space="preserve">Thüringer Landesverwaltungsamt) gemäß § 73 Abs. 1 Satz 4 </w:t>
      </w:r>
      <w:proofErr w:type="spellStart"/>
      <w:r w:rsidR="000D1B2A">
        <w:t>ThürKO</w:t>
      </w:r>
      <w:proofErr w:type="spellEnd"/>
      <w:r w:rsidR="000D1B2A">
        <w:t xml:space="preserve"> </w:t>
      </w:r>
      <w:r w:rsidR="005B2C43">
        <w:t>genehmigt werden.</w:t>
      </w:r>
    </w:p>
    <w:p w14:paraId="06FC6C86" w14:textId="77777777" w:rsidR="005B2C43" w:rsidRDefault="005B2C43" w:rsidP="00FD0762">
      <w:pPr>
        <w:spacing w:after="0" w:line="240" w:lineRule="auto"/>
        <w:jc w:val="both"/>
      </w:pPr>
    </w:p>
    <w:p w14:paraId="1CDC0A60" w14:textId="77777777" w:rsidR="00D334F0" w:rsidRDefault="00D334F0" w:rsidP="00FD0762">
      <w:pPr>
        <w:spacing w:after="0" w:line="240" w:lineRule="auto"/>
        <w:jc w:val="both"/>
      </w:pPr>
      <w:r>
        <w:t xml:space="preserve">Da das Projekt eines kommunalen IT-Dienstleisters einschließlich des Entwurfs des Gesellschaftsvertrags und des Entwurfs der Gesellschaftervereinbarung zwischen dem TFM und dem TMIK abgestimmt ist, ist davon auszugehen, dass aus </w:t>
      </w:r>
      <w:proofErr w:type="spellStart"/>
      <w:r>
        <w:t>rechtsaufsichtlicher</w:t>
      </w:r>
      <w:proofErr w:type="spellEnd"/>
      <w:r>
        <w:t xml:space="preserve"> Sicht keine grundsätzlichen Einwände gegen eine Beteiligung der Kommune an der KIV bestehen. </w:t>
      </w:r>
    </w:p>
    <w:p w14:paraId="4086D978" w14:textId="77777777" w:rsidR="00D334F0" w:rsidRDefault="00D334F0" w:rsidP="00FD0762">
      <w:pPr>
        <w:spacing w:after="0" w:line="240" w:lineRule="auto"/>
        <w:jc w:val="both"/>
      </w:pPr>
    </w:p>
    <w:p w14:paraId="1051AD35" w14:textId="77777777" w:rsidR="00B61860" w:rsidRDefault="00B61860" w:rsidP="00FD0762">
      <w:pPr>
        <w:spacing w:after="0" w:line="240" w:lineRule="auto"/>
        <w:jc w:val="both"/>
      </w:pPr>
    </w:p>
    <w:p w14:paraId="286E9136" w14:textId="77777777" w:rsidR="005B2C43" w:rsidRDefault="005B2C43" w:rsidP="00FD0762">
      <w:pPr>
        <w:spacing w:after="0" w:line="240" w:lineRule="auto"/>
        <w:jc w:val="both"/>
      </w:pPr>
    </w:p>
    <w:p w14:paraId="34C59EFB" w14:textId="77777777" w:rsidR="00E1639C" w:rsidRDefault="0071568C" w:rsidP="00FD0762">
      <w:pPr>
        <w:spacing w:after="0" w:line="240" w:lineRule="auto"/>
        <w:jc w:val="both"/>
      </w:pPr>
      <w:r w:rsidRPr="0071568C">
        <w:rPr>
          <w:highlight w:val="yellow"/>
        </w:rPr>
        <w:t xml:space="preserve">[Hier kann die Gemeinde ggf. weitere </w:t>
      </w:r>
      <w:r>
        <w:rPr>
          <w:highlight w:val="yellow"/>
        </w:rPr>
        <w:t xml:space="preserve">notwendige </w:t>
      </w:r>
      <w:r w:rsidRPr="0071568C">
        <w:rPr>
          <w:highlight w:val="yellow"/>
        </w:rPr>
        <w:t>Schr</w:t>
      </w:r>
      <w:r>
        <w:rPr>
          <w:highlight w:val="yellow"/>
        </w:rPr>
        <w:t>itte ergänzen.</w:t>
      </w:r>
      <w:r w:rsidRPr="0071568C">
        <w:rPr>
          <w:highlight w:val="yellow"/>
        </w:rPr>
        <w:t>]</w:t>
      </w:r>
    </w:p>
    <w:p w14:paraId="1C70DF46" w14:textId="77777777" w:rsidR="00F20D23" w:rsidRDefault="00F20D23" w:rsidP="00FD0762">
      <w:pPr>
        <w:spacing w:after="0" w:line="240" w:lineRule="auto"/>
        <w:jc w:val="both"/>
        <w:rPr>
          <w:b/>
          <w:u w:val="single"/>
        </w:rPr>
      </w:pPr>
    </w:p>
    <w:p w14:paraId="31323CF9" w14:textId="77777777" w:rsidR="00F20D23" w:rsidRDefault="00F20D23" w:rsidP="00FD0762">
      <w:pPr>
        <w:spacing w:after="0" w:line="240" w:lineRule="auto"/>
        <w:jc w:val="both"/>
        <w:rPr>
          <w:b/>
          <w:u w:val="single"/>
        </w:rPr>
      </w:pPr>
    </w:p>
    <w:p w14:paraId="6F59ED4D" w14:textId="77777777" w:rsidR="00C264DB" w:rsidRPr="00E4614C" w:rsidRDefault="00C264DB" w:rsidP="00FD0762">
      <w:pPr>
        <w:spacing w:after="0" w:line="240" w:lineRule="auto"/>
        <w:jc w:val="both"/>
        <w:rPr>
          <w:b/>
          <w:u w:val="single"/>
        </w:rPr>
      </w:pPr>
      <w:r w:rsidRPr="00E4614C">
        <w:rPr>
          <w:b/>
          <w:u w:val="single"/>
        </w:rPr>
        <w:t xml:space="preserve">Anlagenverzeichnis: </w:t>
      </w:r>
    </w:p>
    <w:p w14:paraId="67F1A2CC" w14:textId="77777777" w:rsidR="00200C71" w:rsidRDefault="00200C71" w:rsidP="00FD0762">
      <w:pPr>
        <w:spacing w:after="0" w:line="240" w:lineRule="auto"/>
        <w:jc w:val="both"/>
      </w:pPr>
    </w:p>
    <w:p w14:paraId="3BFF67AB" w14:textId="77777777" w:rsidR="00C264DB" w:rsidRDefault="00C264DB" w:rsidP="00FD0762">
      <w:pPr>
        <w:spacing w:after="0" w:line="240" w:lineRule="auto"/>
        <w:jc w:val="both"/>
      </w:pPr>
      <w:r>
        <w:t>Anlage 1 – Gesellschaftsvertrag</w:t>
      </w:r>
    </w:p>
    <w:p w14:paraId="5038D2C0" w14:textId="77777777" w:rsidR="00C264DB" w:rsidRDefault="00C264DB" w:rsidP="00FD0762">
      <w:pPr>
        <w:spacing w:after="0" w:line="240" w:lineRule="auto"/>
        <w:jc w:val="both"/>
      </w:pPr>
      <w:r>
        <w:t xml:space="preserve">Anlage 2 </w:t>
      </w:r>
      <w:r w:rsidR="00681B61">
        <w:t>–</w:t>
      </w:r>
      <w:r>
        <w:t xml:space="preserve"> Gesellschaftervereinbarung</w:t>
      </w:r>
    </w:p>
    <w:sectPr w:rsidR="00C264D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60A8F" w14:textId="77777777" w:rsidR="002C6243" w:rsidRDefault="002C6243" w:rsidP="00936DE3">
      <w:pPr>
        <w:spacing w:after="0" w:line="240" w:lineRule="auto"/>
      </w:pPr>
      <w:r>
        <w:separator/>
      </w:r>
    </w:p>
  </w:endnote>
  <w:endnote w:type="continuationSeparator" w:id="0">
    <w:p w14:paraId="55E7C34C" w14:textId="77777777" w:rsidR="002C6243" w:rsidRDefault="002C6243" w:rsidP="0093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7E6DC" w14:textId="77777777" w:rsidR="00936DE3" w:rsidRDefault="00936DE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DE199" w14:textId="77777777" w:rsidR="00936DE3" w:rsidRDefault="00936DE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3A9E" w14:textId="77777777" w:rsidR="00936DE3" w:rsidRDefault="00936DE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B5B68" w14:textId="77777777" w:rsidR="002C6243" w:rsidRDefault="002C6243" w:rsidP="00936DE3">
      <w:pPr>
        <w:spacing w:after="0" w:line="240" w:lineRule="auto"/>
      </w:pPr>
      <w:r>
        <w:separator/>
      </w:r>
    </w:p>
  </w:footnote>
  <w:footnote w:type="continuationSeparator" w:id="0">
    <w:p w14:paraId="21C77071" w14:textId="77777777" w:rsidR="002C6243" w:rsidRDefault="002C6243" w:rsidP="00936DE3">
      <w:pPr>
        <w:spacing w:after="0" w:line="240" w:lineRule="auto"/>
      </w:pPr>
      <w:r>
        <w:continuationSeparator/>
      </w:r>
    </w:p>
  </w:footnote>
  <w:footnote w:id="1">
    <w:p w14:paraId="2B17DB47"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Der Stadtrat / Die Gemeinschaftsversammlung …</w:t>
      </w:r>
    </w:p>
  </w:footnote>
  <w:footnote w:id="2">
    <w:p w14:paraId="4D440A29"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die Stadt […] / die Verwaltungsgemeinschaft […]</w:t>
      </w:r>
    </w:p>
  </w:footnote>
  <w:footnote w:id="3">
    <w:p w14:paraId="464698CB"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Der Stadtrat / Die Gemeinschaftsversammlung …</w:t>
      </w:r>
    </w:p>
  </w:footnote>
  <w:footnote w:id="4">
    <w:p w14:paraId="1D606BAE"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Oberbürgermeister/in / Gemeinschaftsvorsitzende/n</w:t>
      </w:r>
    </w:p>
  </w:footnote>
  <w:footnote w:id="5">
    <w:p w14:paraId="170FB413"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der Stadt […] / der Verwaltungsgemeinschaft […]</w:t>
      </w:r>
    </w:p>
  </w:footnote>
  <w:footnote w:id="6">
    <w:p w14:paraId="507C09C7"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Oberbürgermeister/in / Gemeinschaftsvorsitzende/n</w:t>
      </w:r>
    </w:p>
  </w:footnote>
  <w:footnote w:id="7">
    <w:p w14:paraId="418FFF12"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Der Stadtrat / Die Gemeinschaftsversammlung …</w:t>
      </w:r>
    </w:p>
  </w:footnote>
  <w:footnote w:id="8">
    <w:p w14:paraId="4C391EF8" w14:textId="77777777" w:rsidR="00D2441B" w:rsidRPr="00E1639C" w:rsidRDefault="00D2441B">
      <w:pPr>
        <w:pStyle w:val="Funotentext"/>
        <w:rPr>
          <w:sz w:val="16"/>
          <w:szCs w:val="16"/>
        </w:rPr>
      </w:pPr>
      <w:r w:rsidRPr="00E1639C">
        <w:rPr>
          <w:rStyle w:val="Funotenzeichen"/>
          <w:sz w:val="16"/>
          <w:szCs w:val="16"/>
        </w:rPr>
        <w:footnoteRef/>
      </w:r>
      <w:r w:rsidRPr="00E1639C">
        <w:rPr>
          <w:sz w:val="16"/>
          <w:szCs w:val="16"/>
        </w:rPr>
        <w:t xml:space="preserve"> bzw.: Oberbürgermeister/in / Gemeinschaftsvorsitzende/n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1944" w14:textId="77777777" w:rsidR="00936DE3" w:rsidRDefault="00936D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DDCCF" w14:textId="77777777" w:rsidR="00936DE3" w:rsidRDefault="00936DE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4596F" w14:textId="77777777" w:rsidR="00936DE3" w:rsidRDefault="00936DE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51523"/>
    <w:multiLevelType w:val="hybridMultilevel"/>
    <w:tmpl w:val="3B208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9637205"/>
    <w:multiLevelType w:val="hybridMultilevel"/>
    <w:tmpl w:val="100AAF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A4F4A18"/>
    <w:multiLevelType w:val="hybridMultilevel"/>
    <w:tmpl w:val="82D237EC"/>
    <w:lvl w:ilvl="0" w:tplc="330CCE5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F2"/>
    <w:rsid w:val="000558F8"/>
    <w:rsid w:val="00061E2B"/>
    <w:rsid w:val="000A01DE"/>
    <w:rsid w:val="000C0EE5"/>
    <w:rsid w:val="000D1B2A"/>
    <w:rsid w:val="000D6193"/>
    <w:rsid w:val="000D7D35"/>
    <w:rsid w:val="00145C38"/>
    <w:rsid w:val="001960F2"/>
    <w:rsid w:val="001A0A15"/>
    <w:rsid w:val="001A442E"/>
    <w:rsid w:val="001B5EF8"/>
    <w:rsid w:val="001C31D7"/>
    <w:rsid w:val="001E6E62"/>
    <w:rsid w:val="00200C71"/>
    <w:rsid w:val="002210E9"/>
    <w:rsid w:val="002417AF"/>
    <w:rsid w:val="002510C8"/>
    <w:rsid w:val="002A759A"/>
    <w:rsid w:val="002C6243"/>
    <w:rsid w:val="002D5B9B"/>
    <w:rsid w:val="002D7EE8"/>
    <w:rsid w:val="002E5539"/>
    <w:rsid w:val="0030136F"/>
    <w:rsid w:val="003026AB"/>
    <w:rsid w:val="0033615A"/>
    <w:rsid w:val="00382688"/>
    <w:rsid w:val="00385FD8"/>
    <w:rsid w:val="003A6B5F"/>
    <w:rsid w:val="003A6D84"/>
    <w:rsid w:val="003B5D70"/>
    <w:rsid w:val="003E6E9A"/>
    <w:rsid w:val="00432532"/>
    <w:rsid w:val="004522DF"/>
    <w:rsid w:val="00497566"/>
    <w:rsid w:val="004A4CD7"/>
    <w:rsid w:val="00503FED"/>
    <w:rsid w:val="00510CCE"/>
    <w:rsid w:val="00516C69"/>
    <w:rsid w:val="00522E02"/>
    <w:rsid w:val="00526114"/>
    <w:rsid w:val="0055169B"/>
    <w:rsid w:val="0058325B"/>
    <w:rsid w:val="005B2C43"/>
    <w:rsid w:val="0060430D"/>
    <w:rsid w:val="00630606"/>
    <w:rsid w:val="00653DC5"/>
    <w:rsid w:val="00681B61"/>
    <w:rsid w:val="006B19DE"/>
    <w:rsid w:val="006E0BEC"/>
    <w:rsid w:val="006E6E18"/>
    <w:rsid w:val="0071568C"/>
    <w:rsid w:val="0072024B"/>
    <w:rsid w:val="00726A82"/>
    <w:rsid w:val="00767E99"/>
    <w:rsid w:val="007B0828"/>
    <w:rsid w:val="007F599D"/>
    <w:rsid w:val="00815AE2"/>
    <w:rsid w:val="00870B2E"/>
    <w:rsid w:val="0087484F"/>
    <w:rsid w:val="00894261"/>
    <w:rsid w:val="008A3878"/>
    <w:rsid w:val="008B0082"/>
    <w:rsid w:val="008C3216"/>
    <w:rsid w:val="00936DE3"/>
    <w:rsid w:val="00971ECD"/>
    <w:rsid w:val="009758AB"/>
    <w:rsid w:val="009A351C"/>
    <w:rsid w:val="009B76E2"/>
    <w:rsid w:val="009F1E12"/>
    <w:rsid w:val="00A46ED0"/>
    <w:rsid w:val="00A50CD2"/>
    <w:rsid w:val="00A577F2"/>
    <w:rsid w:val="00A7768C"/>
    <w:rsid w:val="00AB6946"/>
    <w:rsid w:val="00AC4F70"/>
    <w:rsid w:val="00AD42D1"/>
    <w:rsid w:val="00B33268"/>
    <w:rsid w:val="00B372B7"/>
    <w:rsid w:val="00B61860"/>
    <w:rsid w:val="00BA4210"/>
    <w:rsid w:val="00BB4A8A"/>
    <w:rsid w:val="00BD2C8F"/>
    <w:rsid w:val="00BF0756"/>
    <w:rsid w:val="00C24F1F"/>
    <w:rsid w:val="00C264DB"/>
    <w:rsid w:val="00C37F13"/>
    <w:rsid w:val="00C501D4"/>
    <w:rsid w:val="00C714A6"/>
    <w:rsid w:val="00C73BD9"/>
    <w:rsid w:val="00C857E1"/>
    <w:rsid w:val="00CD44A2"/>
    <w:rsid w:val="00CF3E13"/>
    <w:rsid w:val="00CF6461"/>
    <w:rsid w:val="00D00FA6"/>
    <w:rsid w:val="00D13D54"/>
    <w:rsid w:val="00D2441B"/>
    <w:rsid w:val="00D252AC"/>
    <w:rsid w:val="00D255C7"/>
    <w:rsid w:val="00D334F0"/>
    <w:rsid w:val="00D96103"/>
    <w:rsid w:val="00E03D45"/>
    <w:rsid w:val="00E14086"/>
    <w:rsid w:val="00E1639C"/>
    <w:rsid w:val="00E247EA"/>
    <w:rsid w:val="00E4614C"/>
    <w:rsid w:val="00EB3E0E"/>
    <w:rsid w:val="00EC263D"/>
    <w:rsid w:val="00EE7F05"/>
    <w:rsid w:val="00EF5B67"/>
    <w:rsid w:val="00F13DD0"/>
    <w:rsid w:val="00F20D23"/>
    <w:rsid w:val="00F76B31"/>
    <w:rsid w:val="00F80928"/>
    <w:rsid w:val="00FB0E8C"/>
    <w:rsid w:val="00FC2A62"/>
    <w:rsid w:val="00FD0762"/>
    <w:rsid w:val="00FF52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9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6C69"/>
    <w:pPr>
      <w:ind w:left="720"/>
      <w:contextualSpacing/>
    </w:pPr>
  </w:style>
  <w:style w:type="paragraph" w:styleId="Kopfzeile">
    <w:name w:val="header"/>
    <w:basedOn w:val="Standard"/>
    <w:link w:val="KopfzeileZchn"/>
    <w:uiPriority w:val="99"/>
    <w:unhideWhenUsed/>
    <w:rsid w:val="00936D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DE3"/>
  </w:style>
  <w:style w:type="paragraph" w:styleId="Fuzeile">
    <w:name w:val="footer"/>
    <w:basedOn w:val="Standard"/>
    <w:link w:val="FuzeileZchn"/>
    <w:uiPriority w:val="99"/>
    <w:unhideWhenUsed/>
    <w:rsid w:val="00936D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6DE3"/>
  </w:style>
  <w:style w:type="paragraph" w:styleId="Funotentext">
    <w:name w:val="footnote text"/>
    <w:basedOn w:val="Standard"/>
    <w:link w:val="FunotentextZchn"/>
    <w:uiPriority w:val="99"/>
    <w:semiHidden/>
    <w:unhideWhenUsed/>
    <w:rsid w:val="00D13D5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13D54"/>
    <w:rPr>
      <w:sz w:val="20"/>
      <w:szCs w:val="20"/>
    </w:rPr>
  </w:style>
  <w:style w:type="character" w:styleId="Funotenzeichen">
    <w:name w:val="footnote reference"/>
    <w:basedOn w:val="Absatz-Standardschriftart"/>
    <w:uiPriority w:val="99"/>
    <w:semiHidden/>
    <w:unhideWhenUsed/>
    <w:rsid w:val="00D13D54"/>
    <w:rPr>
      <w:vertAlign w:val="superscript"/>
    </w:rPr>
  </w:style>
  <w:style w:type="paragraph" w:styleId="Sprechblasentext">
    <w:name w:val="Balloon Text"/>
    <w:basedOn w:val="Standard"/>
    <w:link w:val="SprechblasentextZchn"/>
    <w:uiPriority w:val="99"/>
    <w:semiHidden/>
    <w:unhideWhenUsed/>
    <w:rsid w:val="009B76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76E2"/>
    <w:rPr>
      <w:rFonts w:ascii="Tahoma" w:hAnsi="Tahoma" w:cs="Tahoma"/>
      <w:sz w:val="16"/>
      <w:szCs w:val="16"/>
    </w:rPr>
  </w:style>
  <w:style w:type="character" w:customStyle="1" w:styleId="highlight">
    <w:name w:val="highlight"/>
    <w:basedOn w:val="Absatz-Standardschriftart"/>
    <w:rsid w:val="00145C38"/>
  </w:style>
  <w:style w:type="character" w:styleId="Kommentarzeichen">
    <w:name w:val="annotation reference"/>
    <w:basedOn w:val="Absatz-Standardschriftart"/>
    <w:uiPriority w:val="99"/>
    <w:semiHidden/>
    <w:unhideWhenUsed/>
    <w:rsid w:val="00F80928"/>
    <w:rPr>
      <w:sz w:val="16"/>
      <w:szCs w:val="16"/>
    </w:rPr>
  </w:style>
  <w:style w:type="paragraph" w:styleId="Kommentartext">
    <w:name w:val="annotation text"/>
    <w:basedOn w:val="Standard"/>
    <w:link w:val="KommentartextZchn"/>
    <w:uiPriority w:val="99"/>
    <w:semiHidden/>
    <w:unhideWhenUsed/>
    <w:rsid w:val="00F809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0928"/>
    <w:rPr>
      <w:sz w:val="20"/>
      <w:szCs w:val="20"/>
    </w:rPr>
  </w:style>
  <w:style w:type="paragraph" w:styleId="Kommentarthema">
    <w:name w:val="annotation subject"/>
    <w:basedOn w:val="Kommentartext"/>
    <w:next w:val="Kommentartext"/>
    <w:link w:val="KommentarthemaZchn"/>
    <w:uiPriority w:val="99"/>
    <w:semiHidden/>
    <w:unhideWhenUsed/>
    <w:rsid w:val="00F80928"/>
    <w:rPr>
      <w:b/>
      <w:bCs/>
    </w:rPr>
  </w:style>
  <w:style w:type="character" w:customStyle="1" w:styleId="KommentarthemaZchn">
    <w:name w:val="Kommentarthema Zchn"/>
    <w:basedOn w:val="KommentartextZchn"/>
    <w:link w:val="Kommentarthema"/>
    <w:uiPriority w:val="99"/>
    <w:semiHidden/>
    <w:rsid w:val="00F80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6C69"/>
    <w:pPr>
      <w:ind w:left="720"/>
      <w:contextualSpacing/>
    </w:pPr>
  </w:style>
  <w:style w:type="paragraph" w:styleId="Kopfzeile">
    <w:name w:val="header"/>
    <w:basedOn w:val="Standard"/>
    <w:link w:val="KopfzeileZchn"/>
    <w:uiPriority w:val="99"/>
    <w:unhideWhenUsed/>
    <w:rsid w:val="00936D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6DE3"/>
  </w:style>
  <w:style w:type="paragraph" w:styleId="Fuzeile">
    <w:name w:val="footer"/>
    <w:basedOn w:val="Standard"/>
    <w:link w:val="FuzeileZchn"/>
    <w:uiPriority w:val="99"/>
    <w:unhideWhenUsed/>
    <w:rsid w:val="00936D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36DE3"/>
  </w:style>
  <w:style w:type="paragraph" w:styleId="Funotentext">
    <w:name w:val="footnote text"/>
    <w:basedOn w:val="Standard"/>
    <w:link w:val="FunotentextZchn"/>
    <w:uiPriority w:val="99"/>
    <w:semiHidden/>
    <w:unhideWhenUsed/>
    <w:rsid w:val="00D13D5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13D54"/>
    <w:rPr>
      <w:sz w:val="20"/>
      <w:szCs w:val="20"/>
    </w:rPr>
  </w:style>
  <w:style w:type="character" w:styleId="Funotenzeichen">
    <w:name w:val="footnote reference"/>
    <w:basedOn w:val="Absatz-Standardschriftart"/>
    <w:uiPriority w:val="99"/>
    <w:semiHidden/>
    <w:unhideWhenUsed/>
    <w:rsid w:val="00D13D54"/>
    <w:rPr>
      <w:vertAlign w:val="superscript"/>
    </w:rPr>
  </w:style>
  <w:style w:type="paragraph" w:styleId="Sprechblasentext">
    <w:name w:val="Balloon Text"/>
    <w:basedOn w:val="Standard"/>
    <w:link w:val="SprechblasentextZchn"/>
    <w:uiPriority w:val="99"/>
    <w:semiHidden/>
    <w:unhideWhenUsed/>
    <w:rsid w:val="009B76E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76E2"/>
    <w:rPr>
      <w:rFonts w:ascii="Tahoma" w:hAnsi="Tahoma" w:cs="Tahoma"/>
      <w:sz w:val="16"/>
      <w:szCs w:val="16"/>
    </w:rPr>
  </w:style>
  <w:style w:type="character" w:customStyle="1" w:styleId="highlight">
    <w:name w:val="highlight"/>
    <w:basedOn w:val="Absatz-Standardschriftart"/>
    <w:rsid w:val="00145C38"/>
  </w:style>
  <w:style w:type="character" w:styleId="Kommentarzeichen">
    <w:name w:val="annotation reference"/>
    <w:basedOn w:val="Absatz-Standardschriftart"/>
    <w:uiPriority w:val="99"/>
    <w:semiHidden/>
    <w:unhideWhenUsed/>
    <w:rsid w:val="00F80928"/>
    <w:rPr>
      <w:sz w:val="16"/>
      <w:szCs w:val="16"/>
    </w:rPr>
  </w:style>
  <w:style w:type="paragraph" w:styleId="Kommentartext">
    <w:name w:val="annotation text"/>
    <w:basedOn w:val="Standard"/>
    <w:link w:val="KommentartextZchn"/>
    <w:uiPriority w:val="99"/>
    <w:semiHidden/>
    <w:unhideWhenUsed/>
    <w:rsid w:val="00F809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0928"/>
    <w:rPr>
      <w:sz w:val="20"/>
      <w:szCs w:val="20"/>
    </w:rPr>
  </w:style>
  <w:style w:type="paragraph" w:styleId="Kommentarthema">
    <w:name w:val="annotation subject"/>
    <w:basedOn w:val="Kommentartext"/>
    <w:next w:val="Kommentartext"/>
    <w:link w:val="KommentarthemaZchn"/>
    <w:uiPriority w:val="99"/>
    <w:semiHidden/>
    <w:unhideWhenUsed/>
    <w:rsid w:val="00F80928"/>
    <w:rPr>
      <w:b/>
      <w:bCs/>
    </w:rPr>
  </w:style>
  <w:style w:type="character" w:customStyle="1" w:styleId="KommentarthemaZchn">
    <w:name w:val="Kommentarthema Zchn"/>
    <w:basedOn w:val="KommentartextZchn"/>
    <w:link w:val="Kommentarthema"/>
    <w:uiPriority w:val="99"/>
    <w:semiHidden/>
    <w:rsid w:val="00F80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7EF66-20B5-4118-A5F9-AE1CFA7E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1774</Words>
  <Characters>11182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TFM</Company>
  <LinksUpToDate>false</LinksUpToDate>
  <CharactersWithSpaces>12931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TFM Hofmann, Florian</dc:creator>
  <cp:lastModifiedBy>Frauke, Etzrodt</cp:lastModifiedBy>
  <cp:revision>65</cp:revision>
  <cp:lastPrinted>2020-04-29T08:53:00Z</cp:lastPrinted>
  <dcterms:created xsi:type="dcterms:W3CDTF">2020-03-06T13:49:00Z</dcterms:created>
  <dcterms:modified xsi:type="dcterms:W3CDTF">2020-06-10T12:56:00Z</dcterms:modified>
</cp:coreProperties>
</file>